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CB32" w14:textId="77777777" w:rsidR="005578E5" w:rsidRDefault="005578E5" w:rsidP="001408F6">
      <w:pPr>
        <w:contextualSpacing/>
        <w:rPr>
          <w:rFonts w:ascii="Verdana" w:eastAsia="Verdana" w:hAnsi="Verdana" w:cs="Verdana"/>
          <w:b/>
        </w:rPr>
      </w:pPr>
    </w:p>
    <w:p w14:paraId="68483ABE" w14:textId="77777777" w:rsidR="005578E5" w:rsidRDefault="004E254E" w:rsidP="001408F6">
      <w:pPr>
        <w:spacing w:before="240" w:after="120"/>
        <w:contextualSpacing/>
        <w:jc w:val="center"/>
        <w:rPr>
          <w:rFonts w:ascii="Verdana" w:eastAsia="Verdana" w:hAnsi="Verdana" w:cs="Verdana"/>
          <w:b/>
          <w:sz w:val="32"/>
          <w:szCs w:val="32"/>
        </w:rPr>
      </w:pPr>
      <w:r>
        <w:rPr>
          <w:rFonts w:ascii="Verdana" w:eastAsia="Verdana" w:hAnsi="Verdana" w:cs="Verdana"/>
          <w:b/>
          <w:sz w:val="32"/>
          <w:szCs w:val="32"/>
        </w:rPr>
        <w:t>Metagenomics 487/587 (3 units)</w:t>
      </w:r>
    </w:p>
    <w:p w14:paraId="36027559" w14:textId="4BE8540F" w:rsidR="005578E5" w:rsidRDefault="004E254E" w:rsidP="001408F6">
      <w:pPr>
        <w:contextualSpacing/>
        <w:jc w:val="center"/>
        <w:rPr>
          <w:rFonts w:ascii="Verdana" w:eastAsia="Verdana" w:hAnsi="Verdana" w:cs="Verdana"/>
          <w:b/>
        </w:rPr>
      </w:pPr>
      <w:r>
        <w:rPr>
          <w:rFonts w:ascii="Verdana" w:eastAsia="Verdana" w:hAnsi="Verdana" w:cs="Verdana"/>
          <w:b/>
        </w:rPr>
        <w:t xml:space="preserve">Tuesday and Thursday </w:t>
      </w:r>
      <w:r w:rsidR="005959F5">
        <w:rPr>
          <w:rFonts w:ascii="Verdana" w:eastAsia="Verdana" w:hAnsi="Verdana" w:cs="Verdana"/>
          <w:b/>
        </w:rPr>
        <w:t>9</w:t>
      </w:r>
      <w:r>
        <w:rPr>
          <w:rFonts w:ascii="Verdana" w:eastAsia="Verdana" w:hAnsi="Verdana" w:cs="Verdana"/>
          <w:b/>
        </w:rPr>
        <w:t>:30 - 1</w:t>
      </w:r>
      <w:r w:rsidR="005959F5">
        <w:rPr>
          <w:rFonts w:ascii="Verdana" w:eastAsia="Verdana" w:hAnsi="Verdana" w:cs="Verdana"/>
          <w:b/>
        </w:rPr>
        <w:t>0</w:t>
      </w:r>
      <w:r>
        <w:rPr>
          <w:rFonts w:ascii="Verdana" w:eastAsia="Verdana" w:hAnsi="Verdana" w:cs="Verdana"/>
          <w:b/>
        </w:rPr>
        <w:t>:45 pm</w:t>
      </w:r>
    </w:p>
    <w:p w14:paraId="175CA782" w14:textId="77777777" w:rsidR="005578E5" w:rsidRDefault="004E254E" w:rsidP="001408F6">
      <w:pPr>
        <w:contextualSpacing/>
        <w:rPr>
          <w:rFonts w:ascii="Verdana" w:eastAsia="Verdana" w:hAnsi="Verdana" w:cs="Verdana"/>
          <w:b/>
        </w:rPr>
      </w:pPr>
      <w:r>
        <w:rPr>
          <w:rFonts w:ascii="Verdana" w:eastAsia="Verdana" w:hAnsi="Verdana" w:cs="Verdana"/>
          <w:b/>
        </w:rPr>
        <w:tab/>
      </w:r>
    </w:p>
    <w:p w14:paraId="5892E757" w14:textId="77777777" w:rsidR="00535ABB" w:rsidRPr="00535ABB" w:rsidRDefault="00535ABB" w:rsidP="00535ABB">
      <w:pPr>
        <w:ind w:left="72"/>
        <w:contextualSpacing/>
        <w:rPr>
          <w:sz w:val="24"/>
          <w:szCs w:val="24"/>
          <w:highlight w:val="white"/>
        </w:rPr>
      </w:pPr>
    </w:p>
    <w:p w14:paraId="16C1C887" w14:textId="77777777" w:rsidR="00535ABB" w:rsidRDefault="00535ABB" w:rsidP="00535ABB">
      <w:pPr>
        <w:spacing w:after="40"/>
        <w:ind w:left="720" w:hanging="720"/>
        <w:contextualSpacing/>
        <w:rPr>
          <w:rFonts w:ascii="Verdana" w:eastAsia="Verdana" w:hAnsi="Verdana" w:cs="Verdana"/>
          <w:b/>
          <w:sz w:val="24"/>
          <w:szCs w:val="24"/>
        </w:rPr>
      </w:pPr>
      <w:r>
        <w:rPr>
          <w:rFonts w:ascii="Verdana" w:eastAsia="Verdana" w:hAnsi="Verdana" w:cs="Verdana"/>
          <w:b/>
          <w:sz w:val="24"/>
          <w:szCs w:val="24"/>
        </w:rPr>
        <w:t>Description of Course</w:t>
      </w:r>
    </w:p>
    <w:p w14:paraId="2336A74E" w14:textId="77777777" w:rsidR="005578E5" w:rsidRDefault="004E254E" w:rsidP="00A60C4B">
      <w:pPr>
        <w:contextualSpacing/>
        <w:jc w:val="both"/>
        <w:rPr>
          <w:sz w:val="24"/>
          <w:szCs w:val="24"/>
        </w:rPr>
      </w:pPr>
      <w:r>
        <w:rPr>
          <w:sz w:val="24"/>
          <w:szCs w:val="24"/>
          <w:highlight w:val="white"/>
        </w:rPr>
        <w:t>Metagenomics is revolutionizing our understanding of microbes from the environment to human health. At its core are new molecular methods to sequence DNA directly from a sample, capturing the genetic signature of the entire microbial community and bypassin</w:t>
      </w:r>
      <w:r w:rsidR="002868ED">
        <w:rPr>
          <w:sz w:val="24"/>
          <w:szCs w:val="24"/>
          <w:highlight w:val="white"/>
        </w:rPr>
        <w:t>g culturing</w:t>
      </w:r>
      <w:r>
        <w:rPr>
          <w:sz w:val="24"/>
          <w:szCs w:val="24"/>
          <w:highlight w:val="white"/>
        </w:rPr>
        <w:t>. Next-generation sequencing technologies produce massive sequence datasets that allow for these new insights, but also present computational hurdles in interpreting data. This course teaches students the biological concepts behind working with genetic data from these complex communities, and a practical understanding of bioinformatics approaches for analyzing data. Students work collaborative</w:t>
      </w:r>
      <w:r w:rsidR="002868ED">
        <w:rPr>
          <w:sz w:val="24"/>
          <w:szCs w:val="24"/>
          <w:highlight w:val="white"/>
        </w:rPr>
        <w:t>ly</w:t>
      </w:r>
      <w:r>
        <w:rPr>
          <w:sz w:val="24"/>
          <w:szCs w:val="24"/>
          <w:highlight w:val="white"/>
        </w:rPr>
        <w:t xml:space="preserve"> to gain skills in </w:t>
      </w:r>
      <w:r>
        <w:rPr>
          <w:sz w:val="24"/>
          <w:szCs w:val="24"/>
        </w:rPr>
        <w:t xml:space="preserve">(1) metagenomic experimental design and next-generation sequencing; (2) interpreting results from bioinformatics analyses from recent studies; (3) comparative analyses </w:t>
      </w:r>
      <w:r>
        <w:rPr>
          <w:sz w:val="24"/>
          <w:szCs w:val="24"/>
          <w:highlight w:val="white"/>
        </w:rPr>
        <w:t xml:space="preserve">to understand how genes, pathways, and environmental context can be translated into ecosystem-level knowledge. </w:t>
      </w:r>
      <w:r>
        <w:rPr>
          <w:sz w:val="24"/>
          <w:szCs w:val="24"/>
        </w:rPr>
        <w:t xml:space="preserve">   </w:t>
      </w:r>
    </w:p>
    <w:p w14:paraId="02BD2106" w14:textId="77777777" w:rsidR="005578E5" w:rsidRDefault="005578E5" w:rsidP="001408F6">
      <w:pPr>
        <w:ind w:left="720"/>
        <w:contextualSpacing/>
        <w:rPr>
          <w:rFonts w:ascii="Verdana" w:eastAsia="Verdana" w:hAnsi="Verdana" w:cs="Verdana"/>
        </w:rPr>
      </w:pPr>
    </w:p>
    <w:p w14:paraId="2CA893CF" w14:textId="77777777" w:rsidR="005578E5" w:rsidRDefault="004E254E" w:rsidP="001408F6">
      <w:pPr>
        <w:spacing w:after="40"/>
        <w:ind w:left="720" w:hanging="720"/>
        <w:contextualSpacing/>
        <w:rPr>
          <w:rFonts w:ascii="Verdana" w:eastAsia="Verdana" w:hAnsi="Verdana" w:cs="Verdana"/>
          <w:b/>
          <w:sz w:val="24"/>
          <w:szCs w:val="24"/>
        </w:rPr>
      </w:pPr>
      <w:r>
        <w:rPr>
          <w:rFonts w:ascii="Verdana" w:eastAsia="Verdana" w:hAnsi="Verdana" w:cs="Verdana"/>
          <w:b/>
          <w:sz w:val="24"/>
          <w:szCs w:val="24"/>
        </w:rPr>
        <w:t>Course Prerequisites or Co-requisites</w:t>
      </w:r>
    </w:p>
    <w:p w14:paraId="5A3B419E" w14:textId="77777777" w:rsidR="005578E5" w:rsidRDefault="004E254E" w:rsidP="001408F6">
      <w:pPr>
        <w:ind w:left="72"/>
        <w:contextualSpacing/>
        <w:rPr>
          <w:sz w:val="24"/>
          <w:szCs w:val="24"/>
        </w:rPr>
      </w:pPr>
      <w:r>
        <w:rPr>
          <w:sz w:val="24"/>
          <w:szCs w:val="24"/>
        </w:rPr>
        <w:t xml:space="preserve">MCB 181 Introductory Biology </w:t>
      </w:r>
      <w:r w:rsidR="00511A02">
        <w:rPr>
          <w:sz w:val="24"/>
          <w:szCs w:val="24"/>
        </w:rPr>
        <w:t xml:space="preserve">(or similar course) </w:t>
      </w:r>
      <w:r>
        <w:rPr>
          <w:sz w:val="24"/>
          <w:szCs w:val="24"/>
        </w:rPr>
        <w:t xml:space="preserve">is required. </w:t>
      </w:r>
    </w:p>
    <w:p w14:paraId="2E513DF0" w14:textId="77777777" w:rsidR="001408F6" w:rsidRDefault="001408F6" w:rsidP="001408F6">
      <w:pPr>
        <w:ind w:left="72"/>
        <w:contextualSpacing/>
        <w:rPr>
          <w:sz w:val="24"/>
          <w:szCs w:val="24"/>
        </w:rPr>
      </w:pPr>
    </w:p>
    <w:p w14:paraId="7DC1FD78" w14:textId="77777777" w:rsidR="005578E5" w:rsidRDefault="004E254E" w:rsidP="001408F6">
      <w:pPr>
        <w:spacing w:after="40"/>
        <w:contextualSpacing/>
        <w:rPr>
          <w:rFonts w:ascii="Verdana" w:eastAsia="Verdana" w:hAnsi="Verdana" w:cs="Verdana"/>
          <w:b/>
          <w:sz w:val="24"/>
          <w:szCs w:val="24"/>
        </w:rPr>
      </w:pPr>
      <w:r>
        <w:rPr>
          <w:rFonts w:ascii="Verdana" w:eastAsia="Verdana" w:hAnsi="Verdana" w:cs="Verdana"/>
          <w:b/>
          <w:sz w:val="24"/>
          <w:szCs w:val="24"/>
        </w:rPr>
        <w:t>Instructors and Contact Information</w:t>
      </w:r>
    </w:p>
    <w:p w14:paraId="1625EA45" w14:textId="77777777" w:rsidR="005578E5" w:rsidRDefault="004E254E" w:rsidP="001408F6">
      <w:pPr>
        <w:spacing w:after="120"/>
        <w:ind w:left="360"/>
        <w:contextualSpacing/>
        <w:rPr>
          <w:b/>
          <w:sz w:val="24"/>
          <w:szCs w:val="24"/>
        </w:rPr>
      </w:pPr>
      <w:r>
        <w:rPr>
          <w:b/>
          <w:sz w:val="24"/>
          <w:szCs w:val="24"/>
        </w:rPr>
        <w:t>Bonnie Hurwitz, Ph.D., Associate Professor</w:t>
      </w:r>
    </w:p>
    <w:p w14:paraId="47990E57" w14:textId="6C11C61C" w:rsidR="005578E5" w:rsidRDefault="004E254E" w:rsidP="001408F6">
      <w:pPr>
        <w:spacing w:after="120"/>
        <w:ind w:left="360"/>
        <w:contextualSpacing/>
        <w:rPr>
          <w:sz w:val="24"/>
          <w:szCs w:val="24"/>
        </w:rPr>
      </w:pPr>
      <w:r>
        <w:rPr>
          <w:sz w:val="24"/>
          <w:szCs w:val="24"/>
        </w:rPr>
        <w:t xml:space="preserve">E-mail: </w:t>
      </w:r>
      <w:hyperlink r:id="rId7" w:history="1">
        <w:r w:rsidR="005959F5" w:rsidRPr="003D4C54">
          <w:rPr>
            <w:rStyle w:val="Hyperlink"/>
            <w:sz w:val="24"/>
            <w:szCs w:val="24"/>
          </w:rPr>
          <w:t>bhurwitz@</w:t>
        </w:r>
        <w:r w:rsidR="005959F5" w:rsidRPr="003D4C54">
          <w:rPr>
            <w:rStyle w:val="Hyperlink"/>
            <w:sz w:val="24"/>
            <w:szCs w:val="24"/>
          </w:rPr>
          <w:t>a</w:t>
        </w:r>
        <w:r w:rsidR="005959F5" w:rsidRPr="003D4C54">
          <w:rPr>
            <w:rStyle w:val="Hyperlink"/>
            <w:sz w:val="24"/>
            <w:szCs w:val="24"/>
          </w:rPr>
          <w:t>rizona.edu</w:t>
        </w:r>
      </w:hyperlink>
    </w:p>
    <w:p w14:paraId="55C7FF10" w14:textId="77777777" w:rsidR="005578E5" w:rsidRDefault="005578E5" w:rsidP="001408F6">
      <w:pPr>
        <w:spacing w:after="120"/>
        <w:ind w:left="360"/>
        <w:contextualSpacing/>
      </w:pPr>
    </w:p>
    <w:p w14:paraId="7490F262" w14:textId="77777777" w:rsidR="005578E5" w:rsidRDefault="004E254E" w:rsidP="001408F6">
      <w:pPr>
        <w:spacing w:after="120"/>
        <w:ind w:left="360"/>
        <w:contextualSpacing/>
        <w:rPr>
          <w:b/>
          <w:sz w:val="24"/>
          <w:szCs w:val="24"/>
        </w:rPr>
      </w:pPr>
      <w:r>
        <w:rPr>
          <w:b/>
          <w:sz w:val="24"/>
          <w:szCs w:val="24"/>
        </w:rPr>
        <w:t xml:space="preserve">Jana </w:t>
      </w:r>
      <w:proofErr w:type="spellStart"/>
      <w:r>
        <w:rPr>
          <w:b/>
          <w:sz w:val="24"/>
          <w:szCs w:val="24"/>
        </w:rPr>
        <w:t>U’Ren</w:t>
      </w:r>
      <w:proofErr w:type="spellEnd"/>
      <w:r>
        <w:rPr>
          <w:b/>
          <w:sz w:val="24"/>
          <w:szCs w:val="24"/>
        </w:rPr>
        <w:t>, Ph.D., Assistant Professor</w:t>
      </w:r>
    </w:p>
    <w:p w14:paraId="77AF972E" w14:textId="342D07ED" w:rsidR="005578E5" w:rsidRDefault="004E254E" w:rsidP="001408F6">
      <w:pPr>
        <w:spacing w:after="120"/>
        <w:ind w:left="360"/>
        <w:contextualSpacing/>
        <w:rPr>
          <w:sz w:val="24"/>
          <w:szCs w:val="24"/>
        </w:rPr>
      </w:pPr>
      <w:r>
        <w:rPr>
          <w:sz w:val="24"/>
          <w:szCs w:val="24"/>
        </w:rPr>
        <w:t xml:space="preserve">E-mail: </w:t>
      </w:r>
      <w:hyperlink r:id="rId8" w:history="1">
        <w:r w:rsidR="005959F5" w:rsidRPr="003D4C54">
          <w:rPr>
            <w:rStyle w:val="Hyperlink"/>
            <w:sz w:val="24"/>
            <w:szCs w:val="24"/>
          </w:rPr>
          <w:t>juren@arizona.edu</w:t>
        </w:r>
      </w:hyperlink>
      <w:r w:rsidR="00A62F62">
        <w:rPr>
          <w:sz w:val="24"/>
          <w:szCs w:val="24"/>
        </w:rPr>
        <w:t xml:space="preserve"> </w:t>
      </w:r>
    </w:p>
    <w:p w14:paraId="2647AA09" w14:textId="77777777" w:rsidR="00A60C4B" w:rsidRDefault="00A60C4B" w:rsidP="001408F6">
      <w:pPr>
        <w:spacing w:after="120"/>
        <w:ind w:left="360"/>
        <w:contextualSpacing/>
        <w:rPr>
          <w:sz w:val="24"/>
          <w:szCs w:val="24"/>
        </w:rPr>
      </w:pPr>
    </w:p>
    <w:p w14:paraId="2652EB85" w14:textId="77777777" w:rsidR="00A60C4B" w:rsidRDefault="00A60C4B" w:rsidP="00A60C4B">
      <w:pPr>
        <w:spacing w:after="40"/>
        <w:contextualSpacing/>
        <w:rPr>
          <w:rFonts w:ascii="Verdana" w:eastAsia="Verdana" w:hAnsi="Verdana" w:cs="Verdana"/>
          <w:b/>
          <w:sz w:val="24"/>
          <w:szCs w:val="24"/>
        </w:rPr>
      </w:pPr>
      <w:r>
        <w:rPr>
          <w:rFonts w:ascii="Verdana" w:eastAsia="Verdana" w:hAnsi="Verdana" w:cs="Verdana"/>
          <w:b/>
          <w:sz w:val="24"/>
          <w:szCs w:val="24"/>
        </w:rPr>
        <w:t>Office Hours</w:t>
      </w:r>
    </w:p>
    <w:p w14:paraId="56221565" w14:textId="77777777" w:rsidR="004E1CA1" w:rsidRDefault="006C3238" w:rsidP="001408F6">
      <w:pPr>
        <w:contextualSpacing/>
        <w:rPr>
          <w:sz w:val="24"/>
          <w:szCs w:val="24"/>
        </w:rPr>
      </w:pPr>
      <w:r>
        <w:rPr>
          <w:sz w:val="24"/>
          <w:szCs w:val="24"/>
        </w:rPr>
        <w:t xml:space="preserve">Office hours will be held by appointment only.  Please email </w:t>
      </w:r>
      <w:r w:rsidR="007923E9">
        <w:rPr>
          <w:sz w:val="24"/>
          <w:szCs w:val="24"/>
        </w:rPr>
        <w:t xml:space="preserve">us to schedule a Zoom meeting. </w:t>
      </w:r>
    </w:p>
    <w:p w14:paraId="749BB9DA" w14:textId="77777777" w:rsidR="006C3238" w:rsidRDefault="006C3238" w:rsidP="001408F6">
      <w:pPr>
        <w:contextualSpacing/>
        <w:rPr>
          <w:rFonts w:ascii="Verdana" w:eastAsia="Verdana" w:hAnsi="Verdana" w:cs="Verdana"/>
        </w:rPr>
      </w:pPr>
    </w:p>
    <w:p w14:paraId="1535CB32" w14:textId="77777777" w:rsidR="00A60C4B" w:rsidRDefault="00A60C4B" w:rsidP="00A60C4B">
      <w:pPr>
        <w:spacing w:after="40"/>
        <w:ind w:left="720" w:hanging="720"/>
        <w:contextualSpacing/>
        <w:rPr>
          <w:rFonts w:ascii="Verdana" w:eastAsia="Verdana" w:hAnsi="Verdana" w:cs="Verdana"/>
          <w:b/>
          <w:sz w:val="24"/>
          <w:szCs w:val="24"/>
        </w:rPr>
      </w:pPr>
      <w:r>
        <w:rPr>
          <w:rFonts w:ascii="Verdana" w:eastAsia="Verdana" w:hAnsi="Verdana" w:cs="Verdana"/>
          <w:b/>
          <w:sz w:val="24"/>
          <w:szCs w:val="24"/>
        </w:rPr>
        <w:t>Course Information</w:t>
      </w:r>
    </w:p>
    <w:p w14:paraId="4BC0FF53" w14:textId="32A9E886" w:rsidR="005876C8" w:rsidRDefault="00A60C4B" w:rsidP="005876C8">
      <w:pPr>
        <w:numPr>
          <w:ilvl w:val="0"/>
          <w:numId w:val="1"/>
        </w:numPr>
        <w:contextualSpacing/>
        <w:rPr>
          <w:sz w:val="24"/>
          <w:szCs w:val="24"/>
          <w:highlight w:val="white"/>
        </w:rPr>
      </w:pPr>
      <w:r w:rsidRPr="00535ABB">
        <w:rPr>
          <w:sz w:val="24"/>
          <w:szCs w:val="24"/>
          <w:highlight w:val="white"/>
        </w:rPr>
        <w:t xml:space="preserve">This class is scheduled to be taught </w:t>
      </w:r>
      <w:r w:rsidR="005959F5" w:rsidRPr="005959F5">
        <w:rPr>
          <w:b/>
          <w:bCs/>
          <w:sz w:val="24"/>
          <w:szCs w:val="24"/>
          <w:highlight w:val="white"/>
        </w:rPr>
        <w:t>IN-PERSON</w:t>
      </w:r>
      <w:r w:rsidRPr="00535ABB">
        <w:rPr>
          <w:sz w:val="24"/>
          <w:szCs w:val="24"/>
          <w:highlight w:val="white"/>
        </w:rPr>
        <w:t xml:space="preserve"> </w:t>
      </w:r>
      <w:r>
        <w:rPr>
          <w:sz w:val="24"/>
          <w:szCs w:val="24"/>
          <w:highlight w:val="white"/>
        </w:rPr>
        <w:t xml:space="preserve">on </w:t>
      </w:r>
      <w:r w:rsidRPr="00A60C4B">
        <w:rPr>
          <w:sz w:val="24"/>
          <w:szCs w:val="24"/>
          <w:highlight w:val="white"/>
        </w:rPr>
        <w:t xml:space="preserve">Tuesday/Thursday at </w:t>
      </w:r>
      <w:r w:rsidR="005959F5">
        <w:rPr>
          <w:sz w:val="24"/>
          <w:szCs w:val="24"/>
          <w:highlight w:val="white"/>
        </w:rPr>
        <w:t>9:</w:t>
      </w:r>
      <w:r w:rsidRPr="00A60C4B">
        <w:rPr>
          <w:sz w:val="24"/>
          <w:szCs w:val="24"/>
          <w:highlight w:val="white"/>
        </w:rPr>
        <w:t>30-1</w:t>
      </w:r>
      <w:r w:rsidR="005959F5">
        <w:rPr>
          <w:sz w:val="24"/>
          <w:szCs w:val="24"/>
          <w:highlight w:val="white"/>
        </w:rPr>
        <w:t>0</w:t>
      </w:r>
      <w:r w:rsidRPr="00A60C4B">
        <w:rPr>
          <w:sz w:val="24"/>
          <w:szCs w:val="24"/>
          <w:highlight w:val="white"/>
        </w:rPr>
        <w:t xml:space="preserve">:45 </w:t>
      </w:r>
      <w:r w:rsidR="005959F5">
        <w:rPr>
          <w:sz w:val="24"/>
          <w:szCs w:val="24"/>
          <w:highlight w:val="white"/>
        </w:rPr>
        <w:t>in Shantz 440</w:t>
      </w:r>
      <w:r w:rsidRPr="00A60C4B">
        <w:rPr>
          <w:sz w:val="24"/>
          <w:szCs w:val="24"/>
          <w:highlight w:val="white"/>
        </w:rPr>
        <w:t xml:space="preserve"> </w:t>
      </w:r>
    </w:p>
    <w:p w14:paraId="460FFBE7" w14:textId="77777777" w:rsidR="00353F35" w:rsidRPr="005876C8" w:rsidRDefault="00353F35" w:rsidP="00353F35">
      <w:pPr>
        <w:ind w:left="720"/>
        <w:contextualSpacing/>
        <w:rPr>
          <w:sz w:val="24"/>
          <w:szCs w:val="24"/>
          <w:highlight w:val="white"/>
        </w:rPr>
      </w:pPr>
    </w:p>
    <w:p w14:paraId="6E3FA435" w14:textId="77777777" w:rsidR="00353F35" w:rsidRPr="00535ABB" w:rsidRDefault="00353F35" w:rsidP="00353F35">
      <w:pPr>
        <w:numPr>
          <w:ilvl w:val="0"/>
          <w:numId w:val="1"/>
        </w:numPr>
        <w:contextualSpacing/>
        <w:rPr>
          <w:sz w:val="24"/>
          <w:szCs w:val="24"/>
          <w:highlight w:val="white"/>
        </w:rPr>
      </w:pPr>
      <w:r w:rsidRPr="00535ABB">
        <w:rPr>
          <w:b/>
          <w:sz w:val="24"/>
          <w:szCs w:val="24"/>
          <w:highlight w:val="white"/>
        </w:rPr>
        <w:t xml:space="preserve">Equipment and software requirements: </w:t>
      </w:r>
      <w:r w:rsidRPr="00535ABB">
        <w:rPr>
          <w:sz w:val="24"/>
          <w:szCs w:val="24"/>
          <w:highlight w:val="white"/>
        </w:rPr>
        <w:t xml:space="preserve">For this class you will need daily access to the following hardware: [laptop or </w:t>
      </w:r>
      <w:r>
        <w:rPr>
          <w:sz w:val="24"/>
          <w:szCs w:val="24"/>
          <w:highlight w:val="white"/>
        </w:rPr>
        <w:t>desktop computer</w:t>
      </w:r>
      <w:r w:rsidRPr="00535ABB">
        <w:rPr>
          <w:sz w:val="24"/>
          <w:szCs w:val="24"/>
          <w:highlight w:val="white"/>
        </w:rPr>
        <w:t xml:space="preserve"> with webcam and microphone]; regular access to reliable internet signal; ability to download and run the following software: [web browser, Adobe Acrobat, </w:t>
      </w:r>
      <w:r>
        <w:rPr>
          <w:sz w:val="24"/>
          <w:szCs w:val="24"/>
          <w:highlight w:val="white"/>
        </w:rPr>
        <w:t>Microsoft Office Suite</w:t>
      </w:r>
      <w:r w:rsidRPr="00535ABB">
        <w:rPr>
          <w:sz w:val="24"/>
          <w:szCs w:val="24"/>
          <w:highlight w:val="white"/>
        </w:rPr>
        <w:t xml:space="preserve">]. </w:t>
      </w:r>
      <w:r>
        <w:rPr>
          <w:sz w:val="24"/>
          <w:szCs w:val="24"/>
          <w:highlight w:val="white"/>
        </w:rPr>
        <w:t xml:space="preserve">Specialty software for metagenomics will be made available on the UA High Performance Computer. </w:t>
      </w:r>
    </w:p>
    <w:p w14:paraId="1A8B768C" w14:textId="77777777" w:rsidR="005876C8" w:rsidRPr="005876C8" w:rsidRDefault="005876C8" w:rsidP="005876C8">
      <w:pPr>
        <w:ind w:left="720"/>
        <w:contextualSpacing/>
        <w:rPr>
          <w:sz w:val="24"/>
          <w:szCs w:val="24"/>
          <w:highlight w:val="white"/>
        </w:rPr>
      </w:pPr>
    </w:p>
    <w:p w14:paraId="734FA4E9" w14:textId="77777777" w:rsidR="00353F35" w:rsidRPr="00353F35" w:rsidRDefault="00353F35" w:rsidP="00353F35">
      <w:pPr>
        <w:numPr>
          <w:ilvl w:val="0"/>
          <w:numId w:val="1"/>
        </w:numPr>
        <w:contextualSpacing/>
        <w:rPr>
          <w:b/>
          <w:sz w:val="24"/>
          <w:szCs w:val="24"/>
          <w:highlight w:val="white"/>
        </w:rPr>
      </w:pPr>
      <w:r w:rsidRPr="00535ABB">
        <w:rPr>
          <w:b/>
          <w:sz w:val="24"/>
          <w:szCs w:val="24"/>
          <w:highlight w:val="white"/>
        </w:rPr>
        <w:t>Class attendance:</w:t>
      </w:r>
      <w:r>
        <w:rPr>
          <w:b/>
          <w:sz w:val="24"/>
          <w:szCs w:val="24"/>
        </w:rPr>
        <w:t xml:space="preserve"> </w:t>
      </w:r>
      <w:r w:rsidRPr="00353F35">
        <w:rPr>
          <w:sz w:val="24"/>
          <w:szCs w:val="24"/>
        </w:rPr>
        <w:t>Attending lectures and participating in in-class activities are vital to the learning process. As such, attendance is required at all class sessions.</w:t>
      </w:r>
    </w:p>
    <w:p w14:paraId="5176667F" w14:textId="77777777" w:rsidR="00353F35" w:rsidRPr="00353F35" w:rsidRDefault="00353F35" w:rsidP="00353F35">
      <w:pPr>
        <w:ind w:left="720"/>
        <w:contextualSpacing/>
        <w:rPr>
          <w:b/>
          <w:sz w:val="24"/>
          <w:szCs w:val="24"/>
          <w:highlight w:val="white"/>
        </w:rPr>
      </w:pPr>
    </w:p>
    <w:p w14:paraId="4646E6AF" w14:textId="77777777" w:rsidR="00353F35" w:rsidRPr="00535ABB" w:rsidRDefault="00353F35" w:rsidP="00353F35">
      <w:pPr>
        <w:numPr>
          <w:ilvl w:val="1"/>
          <w:numId w:val="1"/>
        </w:numPr>
        <w:contextualSpacing/>
        <w:rPr>
          <w:sz w:val="24"/>
          <w:szCs w:val="24"/>
          <w:highlight w:val="white"/>
        </w:rPr>
      </w:pPr>
      <w:r w:rsidRPr="00535ABB">
        <w:rPr>
          <w:sz w:val="24"/>
          <w:szCs w:val="24"/>
          <w:highlight w:val="white"/>
        </w:rPr>
        <w:t xml:space="preserve">Notify </w:t>
      </w:r>
      <w:r>
        <w:rPr>
          <w:sz w:val="24"/>
          <w:szCs w:val="24"/>
          <w:highlight w:val="white"/>
        </w:rPr>
        <w:t>the</w:t>
      </w:r>
      <w:r w:rsidRPr="00535ABB">
        <w:rPr>
          <w:sz w:val="24"/>
          <w:szCs w:val="24"/>
          <w:highlight w:val="white"/>
        </w:rPr>
        <w:t xml:space="preserve"> instructors </w:t>
      </w:r>
      <w:r>
        <w:rPr>
          <w:sz w:val="24"/>
          <w:szCs w:val="24"/>
          <w:highlight w:val="white"/>
        </w:rPr>
        <w:t xml:space="preserve">ASAP </w:t>
      </w:r>
      <w:r w:rsidRPr="00535ABB">
        <w:rPr>
          <w:sz w:val="24"/>
          <w:szCs w:val="24"/>
          <w:highlight w:val="white"/>
        </w:rPr>
        <w:t xml:space="preserve">if you will be missing </w:t>
      </w:r>
      <w:r>
        <w:rPr>
          <w:sz w:val="24"/>
          <w:szCs w:val="24"/>
          <w:highlight w:val="white"/>
        </w:rPr>
        <w:t>class</w:t>
      </w:r>
      <w:r w:rsidRPr="00535ABB">
        <w:rPr>
          <w:sz w:val="24"/>
          <w:szCs w:val="24"/>
          <w:highlight w:val="white"/>
        </w:rPr>
        <w:t xml:space="preserve">. </w:t>
      </w:r>
    </w:p>
    <w:p w14:paraId="290CAB88" w14:textId="77777777" w:rsidR="00353F35" w:rsidRPr="00535ABB" w:rsidRDefault="00353F35" w:rsidP="00353F35">
      <w:pPr>
        <w:numPr>
          <w:ilvl w:val="1"/>
          <w:numId w:val="1"/>
        </w:numPr>
        <w:contextualSpacing/>
        <w:rPr>
          <w:sz w:val="24"/>
          <w:szCs w:val="24"/>
          <w:highlight w:val="white"/>
        </w:rPr>
      </w:pPr>
      <w:r w:rsidRPr="00535ABB">
        <w:rPr>
          <w:sz w:val="24"/>
          <w:szCs w:val="24"/>
          <w:highlight w:val="white"/>
        </w:rPr>
        <w:t xml:space="preserve">If you feel sick, or may have been in contact with someone who is infectious, stay home. </w:t>
      </w:r>
      <w:r w:rsidRPr="00535ABB">
        <w:rPr>
          <w:sz w:val="24"/>
          <w:szCs w:val="24"/>
          <w:highlight w:val="white"/>
        </w:rPr>
        <w:lastRenderedPageBreak/>
        <w:t>Except for seeking medical care, avoid contact with others and do not travel.</w:t>
      </w:r>
    </w:p>
    <w:p w14:paraId="661D3FB8" w14:textId="77777777" w:rsidR="00353F35" w:rsidRPr="00535ABB" w:rsidRDefault="00000000" w:rsidP="00353F35">
      <w:pPr>
        <w:numPr>
          <w:ilvl w:val="1"/>
          <w:numId w:val="1"/>
        </w:numPr>
        <w:contextualSpacing/>
        <w:rPr>
          <w:sz w:val="24"/>
          <w:szCs w:val="24"/>
          <w:highlight w:val="white"/>
        </w:rPr>
      </w:pPr>
      <w:hyperlink r:id="rId9">
        <w:r w:rsidR="00353F35" w:rsidRPr="00535ABB">
          <w:rPr>
            <w:rStyle w:val="Hyperlink"/>
            <w:sz w:val="24"/>
            <w:szCs w:val="24"/>
            <w:highlight w:val="white"/>
          </w:rPr>
          <w:t>Campus Health</w:t>
        </w:r>
      </w:hyperlink>
      <w:r w:rsidR="00353F35" w:rsidRPr="00535ABB">
        <w:rPr>
          <w:sz w:val="24"/>
          <w:szCs w:val="24"/>
          <w:highlight w:val="white"/>
        </w:rPr>
        <w:t xml:space="preserve"> is testing for COVID-19.  Please call (520) 621-9202 before you visit in person. </w:t>
      </w:r>
    </w:p>
    <w:p w14:paraId="0B226258" w14:textId="77777777" w:rsidR="00353F35" w:rsidRPr="00535ABB" w:rsidRDefault="00353F35" w:rsidP="00353F35">
      <w:pPr>
        <w:numPr>
          <w:ilvl w:val="1"/>
          <w:numId w:val="1"/>
        </w:numPr>
        <w:contextualSpacing/>
        <w:rPr>
          <w:sz w:val="24"/>
          <w:szCs w:val="24"/>
          <w:highlight w:val="white"/>
        </w:rPr>
      </w:pPr>
      <w:r w:rsidRPr="00535ABB">
        <w:rPr>
          <w:sz w:val="24"/>
          <w:szCs w:val="24"/>
          <w:highlight w:val="white"/>
        </w:rPr>
        <w:t xml:space="preserve">Visit the </w:t>
      </w:r>
      <w:hyperlink r:id="rId10">
        <w:proofErr w:type="spellStart"/>
        <w:r w:rsidRPr="00535ABB">
          <w:rPr>
            <w:rStyle w:val="Hyperlink"/>
            <w:sz w:val="24"/>
            <w:szCs w:val="24"/>
            <w:highlight w:val="white"/>
          </w:rPr>
          <w:t>UArizona</w:t>
        </w:r>
        <w:proofErr w:type="spellEnd"/>
        <w:r w:rsidRPr="00535ABB">
          <w:rPr>
            <w:rStyle w:val="Hyperlink"/>
            <w:sz w:val="24"/>
            <w:szCs w:val="24"/>
            <w:highlight w:val="white"/>
          </w:rPr>
          <w:t xml:space="preserve"> COVID-19</w:t>
        </w:r>
      </w:hyperlink>
      <w:r w:rsidRPr="00535ABB">
        <w:rPr>
          <w:sz w:val="24"/>
          <w:szCs w:val="24"/>
          <w:highlight w:val="white"/>
        </w:rPr>
        <w:t xml:space="preserve"> page for regular updates.</w:t>
      </w:r>
    </w:p>
    <w:p w14:paraId="41237E0B" w14:textId="77777777" w:rsidR="005876C8" w:rsidRPr="005876C8" w:rsidRDefault="005876C8" w:rsidP="005876C8">
      <w:pPr>
        <w:numPr>
          <w:ilvl w:val="1"/>
          <w:numId w:val="1"/>
        </w:numPr>
        <w:contextualSpacing/>
        <w:rPr>
          <w:sz w:val="24"/>
          <w:szCs w:val="24"/>
          <w:highlight w:val="white"/>
        </w:rPr>
      </w:pPr>
      <w:r w:rsidRPr="005876C8">
        <w:rPr>
          <w:sz w:val="24"/>
          <w:szCs w:val="24"/>
        </w:rPr>
        <w:t xml:space="preserve">The UA’s policy concerning Class Attendance, Participation, and Administrative Drops is available at </w:t>
      </w:r>
      <w:hyperlink r:id="rId11">
        <w:r w:rsidRPr="005876C8">
          <w:rPr>
            <w:color w:val="0000FF"/>
            <w:sz w:val="24"/>
            <w:szCs w:val="24"/>
            <w:u w:val="single"/>
          </w:rPr>
          <w:t>http://catalog.arizona.edu/policy/class-attendance-participation-and-administrative-drop</w:t>
        </w:r>
      </w:hyperlink>
      <w:r w:rsidRPr="005876C8">
        <w:rPr>
          <w:sz w:val="24"/>
          <w:szCs w:val="24"/>
        </w:rPr>
        <w:t xml:space="preserve"> </w:t>
      </w:r>
    </w:p>
    <w:p w14:paraId="09A74F0E" w14:textId="77777777" w:rsidR="005876C8" w:rsidRPr="005876C8" w:rsidRDefault="005876C8" w:rsidP="005876C8">
      <w:pPr>
        <w:numPr>
          <w:ilvl w:val="1"/>
          <w:numId w:val="1"/>
        </w:numPr>
        <w:contextualSpacing/>
        <w:rPr>
          <w:sz w:val="24"/>
          <w:szCs w:val="24"/>
          <w:highlight w:val="white"/>
        </w:rPr>
      </w:pPr>
      <w:r w:rsidRPr="005876C8">
        <w:rPr>
          <w:sz w:val="24"/>
          <w:szCs w:val="24"/>
        </w:rPr>
        <w:t xml:space="preserve">The UA policy regarding absences for any sincerely held religious belief, observance or practice will be accommodated where reasonable, </w:t>
      </w:r>
      <w:hyperlink r:id="rId12">
        <w:r w:rsidRPr="005876C8">
          <w:rPr>
            <w:color w:val="0000FF"/>
            <w:sz w:val="24"/>
            <w:szCs w:val="24"/>
            <w:u w:val="single"/>
          </w:rPr>
          <w:t>http://policy.arizona.edu/human-resources/religious-accommodation-policy</w:t>
        </w:r>
      </w:hyperlink>
      <w:r w:rsidRPr="005876C8">
        <w:rPr>
          <w:sz w:val="24"/>
          <w:szCs w:val="24"/>
        </w:rPr>
        <w:t>.</w:t>
      </w:r>
    </w:p>
    <w:p w14:paraId="72908481" w14:textId="77777777" w:rsidR="005876C8" w:rsidRPr="005876C8" w:rsidRDefault="005876C8" w:rsidP="005876C8">
      <w:pPr>
        <w:numPr>
          <w:ilvl w:val="1"/>
          <w:numId w:val="1"/>
        </w:numPr>
        <w:contextualSpacing/>
        <w:rPr>
          <w:sz w:val="24"/>
          <w:szCs w:val="24"/>
          <w:highlight w:val="white"/>
        </w:rPr>
      </w:pPr>
      <w:r w:rsidRPr="005876C8">
        <w:rPr>
          <w:sz w:val="24"/>
          <w:szCs w:val="24"/>
        </w:rPr>
        <w:t xml:space="preserve">Absences pre-approved by the UA Dean of Students (or Dean Designee) will be honored.  See:  </w:t>
      </w:r>
      <w:hyperlink r:id="rId13">
        <w:r w:rsidRPr="005876C8">
          <w:rPr>
            <w:color w:val="0000FF"/>
            <w:sz w:val="24"/>
            <w:szCs w:val="24"/>
            <w:u w:val="single"/>
          </w:rPr>
          <w:t>https://deanofstudents.arizona.edu/absences</w:t>
        </w:r>
      </w:hyperlink>
      <w:r w:rsidRPr="005876C8">
        <w:rPr>
          <w:sz w:val="24"/>
          <w:szCs w:val="24"/>
        </w:rPr>
        <w:t xml:space="preserve">  </w:t>
      </w:r>
    </w:p>
    <w:p w14:paraId="2D384073" w14:textId="77777777" w:rsidR="00A60C4B" w:rsidRPr="00A60C4B" w:rsidRDefault="00A60C4B" w:rsidP="00A60C4B">
      <w:pPr>
        <w:contextualSpacing/>
        <w:rPr>
          <w:sz w:val="24"/>
          <w:szCs w:val="24"/>
        </w:rPr>
      </w:pPr>
    </w:p>
    <w:p w14:paraId="620D51B8" w14:textId="77777777" w:rsidR="00A60C4B" w:rsidRPr="00535ABB" w:rsidRDefault="00A60C4B" w:rsidP="00A60C4B">
      <w:pPr>
        <w:numPr>
          <w:ilvl w:val="0"/>
          <w:numId w:val="1"/>
        </w:numPr>
        <w:contextualSpacing/>
        <w:rPr>
          <w:sz w:val="24"/>
          <w:szCs w:val="24"/>
          <w:highlight w:val="white"/>
        </w:rPr>
      </w:pPr>
      <w:r w:rsidRPr="00535ABB">
        <w:rPr>
          <w:b/>
          <w:sz w:val="24"/>
          <w:szCs w:val="24"/>
          <w:highlight w:val="white"/>
        </w:rPr>
        <w:t xml:space="preserve">Life challenges: </w:t>
      </w:r>
      <w:r w:rsidRPr="00535ABB">
        <w:rPr>
          <w:sz w:val="24"/>
          <w:szCs w:val="24"/>
          <w:highlight w:val="white"/>
        </w:rPr>
        <w:t xml:space="preserve">If you are experiencing unexpected barriers to your success in your courses, please note the Dean of Students Office is a central support resource for all students and may be helpful. The </w:t>
      </w:r>
      <w:hyperlink r:id="rId14">
        <w:r w:rsidRPr="00535ABB">
          <w:rPr>
            <w:rStyle w:val="Hyperlink"/>
            <w:sz w:val="24"/>
            <w:szCs w:val="24"/>
            <w:highlight w:val="white"/>
          </w:rPr>
          <w:t>Dean of Students Office</w:t>
        </w:r>
      </w:hyperlink>
      <w:r w:rsidRPr="00535ABB">
        <w:rPr>
          <w:sz w:val="24"/>
          <w:szCs w:val="24"/>
          <w:highlight w:val="white"/>
        </w:rPr>
        <w:t xml:space="preserve"> can be reached at 520-621-2057 or </w:t>
      </w:r>
      <w:hyperlink r:id="rId15">
        <w:r w:rsidRPr="00535ABB">
          <w:rPr>
            <w:rStyle w:val="Hyperlink"/>
            <w:sz w:val="24"/>
            <w:szCs w:val="24"/>
            <w:highlight w:val="white"/>
          </w:rPr>
          <w:t>DOS-deanofstudents@email.arizona.edu</w:t>
        </w:r>
      </w:hyperlink>
      <w:r w:rsidRPr="00535ABB">
        <w:rPr>
          <w:sz w:val="24"/>
          <w:szCs w:val="24"/>
          <w:highlight w:val="white"/>
        </w:rPr>
        <w:t>.</w:t>
      </w:r>
    </w:p>
    <w:p w14:paraId="3404E6CC" w14:textId="77777777" w:rsidR="00A60C4B" w:rsidRPr="00535ABB" w:rsidRDefault="00A60C4B" w:rsidP="00A60C4B">
      <w:pPr>
        <w:ind w:left="72"/>
        <w:contextualSpacing/>
        <w:rPr>
          <w:sz w:val="24"/>
          <w:szCs w:val="24"/>
          <w:highlight w:val="white"/>
        </w:rPr>
      </w:pPr>
    </w:p>
    <w:p w14:paraId="3B16E99D" w14:textId="77777777" w:rsidR="00A60C4B" w:rsidRPr="00A60C4B" w:rsidRDefault="00A60C4B" w:rsidP="00A60C4B">
      <w:pPr>
        <w:numPr>
          <w:ilvl w:val="0"/>
          <w:numId w:val="2"/>
        </w:numPr>
        <w:contextualSpacing/>
        <w:rPr>
          <w:sz w:val="24"/>
          <w:szCs w:val="24"/>
          <w:highlight w:val="white"/>
        </w:rPr>
      </w:pPr>
      <w:r w:rsidRPr="00535ABB">
        <w:rPr>
          <w:b/>
          <w:sz w:val="24"/>
          <w:szCs w:val="24"/>
          <w:highlight w:val="white"/>
        </w:rPr>
        <w:t>Physical and mental-health challenges</w:t>
      </w:r>
      <w:r w:rsidRPr="00535ABB">
        <w:rPr>
          <w:sz w:val="24"/>
          <w:szCs w:val="24"/>
          <w:highlight w:val="white"/>
        </w:rPr>
        <w:t>: If you are facing physical or mental health challenges this semester, please note that Campus Health provides quality medical and mental health care. For medical appointments, call (520-621-9202. For After Hours care, call (520) 570-7898. For the Counseling &amp; Psych Services (CAPS) 24/7 hotline, call (520) 621-3334.</w:t>
      </w:r>
    </w:p>
    <w:p w14:paraId="790D0D24" w14:textId="77777777" w:rsidR="00A60C4B" w:rsidRDefault="00A60C4B" w:rsidP="00A60C4B">
      <w:pPr>
        <w:ind w:left="720"/>
        <w:contextualSpacing/>
        <w:rPr>
          <w:sz w:val="24"/>
          <w:szCs w:val="24"/>
          <w:highlight w:val="white"/>
        </w:rPr>
      </w:pPr>
    </w:p>
    <w:p w14:paraId="04BE0782" w14:textId="77777777" w:rsidR="00A60C4B" w:rsidRPr="00535ABB" w:rsidRDefault="00A60C4B" w:rsidP="00A60C4B">
      <w:pPr>
        <w:numPr>
          <w:ilvl w:val="0"/>
          <w:numId w:val="1"/>
        </w:numPr>
        <w:contextualSpacing/>
        <w:rPr>
          <w:b/>
          <w:sz w:val="24"/>
          <w:szCs w:val="24"/>
          <w:highlight w:val="white"/>
        </w:rPr>
      </w:pPr>
      <w:r w:rsidRPr="00535ABB">
        <w:rPr>
          <w:b/>
          <w:sz w:val="24"/>
          <w:szCs w:val="24"/>
          <w:highlight w:val="white"/>
        </w:rPr>
        <w:t xml:space="preserve">Class Recordings: </w:t>
      </w:r>
    </w:p>
    <w:p w14:paraId="0932A939" w14:textId="77777777" w:rsidR="00A60C4B" w:rsidRDefault="00A60C4B" w:rsidP="00A60C4B">
      <w:pPr>
        <w:numPr>
          <w:ilvl w:val="1"/>
          <w:numId w:val="1"/>
        </w:numPr>
        <w:contextualSpacing/>
        <w:rPr>
          <w:sz w:val="24"/>
          <w:szCs w:val="24"/>
          <w:highlight w:val="white"/>
        </w:rPr>
      </w:pPr>
      <w:r w:rsidRPr="00A60C4B">
        <w:rPr>
          <w:sz w:val="24"/>
          <w:szCs w:val="24"/>
          <w:highlight w:val="white"/>
        </w:rPr>
        <w:t xml:space="preserve">Course recordings will </w:t>
      </w:r>
      <w:r>
        <w:rPr>
          <w:sz w:val="24"/>
          <w:szCs w:val="24"/>
          <w:highlight w:val="white"/>
        </w:rPr>
        <w:t>be</w:t>
      </w:r>
      <w:r w:rsidRPr="00A60C4B">
        <w:rPr>
          <w:sz w:val="24"/>
          <w:szCs w:val="24"/>
          <w:highlight w:val="white"/>
        </w:rPr>
        <w:t xml:space="preserve"> made available via D2L. If you </w:t>
      </w:r>
      <w:r w:rsidRPr="00A60C4B">
        <w:rPr>
          <w:i/>
          <w:sz w:val="24"/>
          <w:szCs w:val="24"/>
          <w:highlight w:val="white"/>
          <w:u w:val="single"/>
        </w:rPr>
        <w:t>do not</w:t>
      </w:r>
      <w:r w:rsidRPr="00A60C4B">
        <w:rPr>
          <w:sz w:val="24"/>
          <w:szCs w:val="24"/>
          <w:highlight w:val="white"/>
        </w:rPr>
        <w:t xml:space="preserve"> wish to be identified by name </w:t>
      </w:r>
      <w:r>
        <w:rPr>
          <w:sz w:val="24"/>
          <w:szCs w:val="24"/>
          <w:highlight w:val="white"/>
        </w:rPr>
        <w:t xml:space="preserve">in these recordings </w:t>
      </w:r>
      <w:r w:rsidRPr="00A60C4B">
        <w:rPr>
          <w:sz w:val="24"/>
          <w:szCs w:val="24"/>
          <w:highlight w:val="white"/>
        </w:rPr>
        <w:t xml:space="preserve">please notify the instructor immediately. </w:t>
      </w:r>
    </w:p>
    <w:p w14:paraId="77929C83" w14:textId="77777777" w:rsidR="00A60C4B" w:rsidRPr="00A60C4B" w:rsidRDefault="00A60C4B" w:rsidP="00A60C4B">
      <w:pPr>
        <w:numPr>
          <w:ilvl w:val="1"/>
          <w:numId w:val="1"/>
        </w:numPr>
        <w:contextualSpacing/>
        <w:rPr>
          <w:sz w:val="24"/>
          <w:szCs w:val="24"/>
          <w:highlight w:val="white"/>
        </w:rPr>
      </w:pPr>
      <w:r w:rsidRPr="00A60C4B">
        <w:rPr>
          <w:sz w:val="24"/>
          <w:szCs w:val="24"/>
          <w:highlight w:val="white"/>
        </w:rPr>
        <w:t xml:space="preserve">Students </w:t>
      </w:r>
      <w:r w:rsidRPr="00A60C4B">
        <w:rPr>
          <w:i/>
          <w:sz w:val="24"/>
          <w:szCs w:val="24"/>
          <w:highlight w:val="white"/>
          <w:u w:val="single"/>
        </w:rPr>
        <w:t>may not</w:t>
      </w:r>
      <w:r w:rsidRPr="00A60C4B">
        <w:rPr>
          <w:sz w:val="24"/>
          <w:szCs w:val="24"/>
          <w:highlight w:val="white"/>
        </w:rPr>
        <w:t xml:space="preserve"> modify content or re-use content </w:t>
      </w:r>
      <w:r>
        <w:rPr>
          <w:sz w:val="24"/>
          <w:szCs w:val="24"/>
          <w:highlight w:val="white"/>
        </w:rPr>
        <w:t xml:space="preserve">in recorded lectures </w:t>
      </w:r>
      <w:r w:rsidRPr="00A60C4B">
        <w:rPr>
          <w:sz w:val="24"/>
          <w:szCs w:val="24"/>
          <w:highlight w:val="white"/>
        </w:rPr>
        <w:t xml:space="preserve">for any purpose other than personal educational reasons. All recordings are subject to government and university regulations. Therefore, students accessing unauthorized recordings or using them in a manner inconsistent with </w:t>
      </w:r>
      <w:proofErr w:type="spellStart"/>
      <w:r w:rsidRPr="00A60C4B">
        <w:rPr>
          <w:sz w:val="24"/>
          <w:szCs w:val="24"/>
          <w:highlight w:val="white"/>
        </w:rPr>
        <w:t>UArizona</w:t>
      </w:r>
      <w:proofErr w:type="spellEnd"/>
      <w:r w:rsidRPr="00A60C4B">
        <w:rPr>
          <w:sz w:val="24"/>
          <w:szCs w:val="24"/>
          <w:highlight w:val="white"/>
        </w:rPr>
        <w:t xml:space="preserve"> values and educational policies are subject to suspension or civil action.</w:t>
      </w:r>
    </w:p>
    <w:p w14:paraId="4E8B3F41" w14:textId="77777777" w:rsidR="00A60C4B" w:rsidRPr="00535ABB" w:rsidRDefault="00A60C4B" w:rsidP="00A60C4B">
      <w:pPr>
        <w:contextualSpacing/>
        <w:rPr>
          <w:sz w:val="24"/>
          <w:szCs w:val="24"/>
          <w:highlight w:val="white"/>
        </w:rPr>
      </w:pPr>
    </w:p>
    <w:p w14:paraId="4F068F95" w14:textId="77777777" w:rsidR="00A60C4B" w:rsidRPr="00535ABB" w:rsidRDefault="00A60C4B" w:rsidP="00A60C4B">
      <w:pPr>
        <w:numPr>
          <w:ilvl w:val="0"/>
          <w:numId w:val="1"/>
        </w:numPr>
        <w:contextualSpacing/>
        <w:rPr>
          <w:sz w:val="24"/>
          <w:szCs w:val="24"/>
          <w:highlight w:val="white"/>
        </w:rPr>
      </w:pPr>
      <w:r w:rsidRPr="00535ABB">
        <w:rPr>
          <w:b/>
          <w:sz w:val="24"/>
          <w:szCs w:val="24"/>
          <w:highlight w:val="white"/>
        </w:rPr>
        <w:t xml:space="preserve">Academic advising: </w:t>
      </w:r>
      <w:r w:rsidRPr="00535ABB">
        <w:rPr>
          <w:sz w:val="24"/>
          <w:szCs w:val="24"/>
          <w:highlight w:val="white"/>
        </w:rPr>
        <w:t xml:space="preserve">If you have questions about your academic progress this semester, or your chosen degree program, please note that advisors at the </w:t>
      </w:r>
      <w:hyperlink r:id="rId16">
        <w:r w:rsidRPr="00535ABB">
          <w:rPr>
            <w:rStyle w:val="Hyperlink"/>
            <w:sz w:val="24"/>
            <w:szCs w:val="24"/>
            <w:highlight w:val="white"/>
          </w:rPr>
          <w:t>Advising Resource Cente</w:t>
        </w:r>
      </w:hyperlink>
      <w:r w:rsidRPr="00535ABB">
        <w:rPr>
          <w:sz w:val="24"/>
          <w:szCs w:val="24"/>
          <w:highlight w:val="white"/>
          <w:u w:val="single"/>
        </w:rPr>
        <w:t>r</w:t>
      </w:r>
      <w:r w:rsidRPr="00535ABB">
        <w:rPr>
          <w:sz w:val="24"/>
          <w:szCs w:val="24"/>
          <w:highlight w:val="white"/>
        </w:rPr>
        <w:t xml:space="preserve"> can guide you toward university resources to help you succeed.</w:t>
      </w:r>
    </w:p>
    <w:p w14:paraId="49BF2158" w14:textId="77777777" w:rsidR="00A60C4B" w:rsidRPr="00535ABB" w:rsidRDefault="00A60C4B" w:rsidP="003915B6">
      <w:pPr>
        <w:contextualSpacing/>
        <w:rPr>
          <w:sz w:val="24"/>
          <w:szCs w:val="24"/>
          <w:highlight w:val="white"/>
        </w:rPr>
      </w:pPr>
    </w:p>
    <w:p w14:paraId="446EFB1E" w14:textId="77777777" w:rsidR="00A60C4B" w:rsidRDefault="00A60C4B" w:rsidP="001408F6">
      <w:pPr>
        <w:spacing w:after="40"/>
        <w:contextualSpacing/>
        <w:rPr>
          <w:rFonts w:ascii="Verdana" w:eastAsia="Verdana" w:hAnsi="Verdana" w:cs="Verdana"/>
          <w:b/>
          <w:sz w:val="24"/>
          <w:szCs w:val="24"/>
        </w:rPr>
      </w:pPr>
    </w:p>
    <w:p w14:paraId="70A4990B" w14:textId="77777777" w:rsidR="005578E5" w:rsidRDefault="004E254E" w:rsidP="001408F6">
      <w:pPr>
        <w:spacing w:after="40"/>
        <w:contextualSpacing/>
        <w:rPr>
          <w:rFonts w:ascii="Verdana" w:eastAsia="Verdana" w:hAnsi="Verdana" w:cs="Verdana"/>
          <w:b/>
          <w:sz w:val="24"/>
          <w:szCs w:val="24"/>
        </w:rPr>
      </w:pPr>
      <w:r>
        <w:rPr>
          <w:rFonts w:ascii="Verdana" w:eastAsia="Verdana" w:hAnsi="Verdana" w:cs="Verdana"/>
          <w:b/>
          <w:sz w:val="24"/>
          <w:szCs w:val="24"/>
        </w:rPr>
        <w:t>Course Format and Teaching Methods</w:t>
      </w:r>
    </w:p>
    <w:p w14:paraId="75903174" w14:textId="77777777" w:rsidR="003915B6" w:rsidRDefault="004E254E" w:rsidP="001408F6">
      <w:pPr>
        <w:widowControl/>
        <w:spacing w:before="120" w:after="220"/>
        <w:contextualSpacing/>
        <w:rPr>
          <w:sz w:val="24"/>
          <w:szCs w:val="24"/>
          <w:highlight w:val="white"/>
        </w:rPr>
      </w:pPr>
      <w:r>
        <w:rPr>
          <w:sz w:val="24"/>
          <w:szCs w:val="24"/>
          <w:highlight w:val="white"/>
        </w:rPr>
        <w:t xml:space="preserve">The course includes </w:t>
      </w:r>
      <w:r w:rsidRPr="00511A02">
        <w:rPr>
          <w:b/>
          <w:sz w:val="24"/>
          <w:szCs w:val="24"/>
          <w:highlight w:val="white"/>
          <w:u w:val="single"/>
        </w:rPr>
        <w:t>six learning modules</w:t>
      </w:r>
      <w:r>
        <w:rPr>
          <w:sz w:val="24"/>
          <w:szCs w:val="24"/>
          <w:highlight w:val="white"/>
        </w:rPr>
        <w:t xml:space="preserve"> that explore concepts and applications of metagenomics research. </w:t>
      </w:r>
    </w:p>
    <w:p w14:paraId="37C63616" w14:textId="77777777" w:rsidR="003915B6" w:rsidRDefault="003915B6" w:rsidP="001408F6">
      <w:pPr>
        <w:widowControl/>
        <w:spacing w:before="120" w:after="220"/>
        <w:contextualSpacing/>
        <w:rPr>
          <w:sz w:val="24"/>
          <w:szCs w:val="24"/>
          <w:highlight w:val="white"/>
        </w:rPr>
      </w:pPr>
    </w:p>
    <w:p w14:paraId="4A15C913" w14:textId="77777777" w:rsidR="005578E5" w:rsidRDefault="004E254E" w:rsidP="001408F6">
      <w:pPr>
        <w:widowControl/>
        <w:spacing w:before="120" w:after="220"/>
        <w:contextualSpacing/>
        <w:rPr>
          <w:rFonts w:ascii="Verdana" w:eastAsia="Verdana" w:hAnsi="Verdana" w:cs="Verdana"/>
        </w:rPr>
      </w:pPr>
      <w:r>
        <w:rPr>
          <w:sz w:val="24"/>
          <w:szCs w:val="24"/>
          <w:highlight w:val="white"/>
        </w:rPr>
        <w:t xml:space="preserve">Each learning module includes </w:t>
      </w:r>
      <w:r w:rsidR="003915B6">
        <w:rPr>
          <w:b/>
          <w:sz w:val="24"/>
          <w:szCs w:val="24"/>
          <w:highlight w:val="white"/>
        </w:rPr>
        <w:t>in class assignments and quizzes</w:t>
      </w:r>
      <w:r w:rsidRPr="002868ED">
        <w:rPr>
          <w:b/>
          <w:sz w:val="24"/>
          <w:szCs w:val="24"/>
          <w:highlight w:val="white"/>
        </w:rPr>
        <w:t>, two homework assignments with guided bioinformatics analys</w:t>
      </w:r>
      <w:r w:rsidR="003915B6">
        <w:rPr>
          <w:b/>
          <w:sz w:val="24"/>
          <w:szCs w:val="24"/>
          <w:highlight w:val="white"/>
        </w:rPr>
        <w:t>es, assigned research paper with a journal club presentation, class discussion, and a written summary</w:t>
      </w:r>
      <w:r>
        <w:rPr>
          <w:sz w:val="24"/>
          <w:szCs w:val="24"/>
          <w:highlight w:val="white"/>
        </w:rPr>
        <w:t xml:space="preserve">. </w:t>
      </w:r>
      <w:r w:rsidR="003915B6">
        <w:rPr>
          <w:sz w:val="24"/>
          <w:szCs w:val="24"/>
          <w:highlight w:val="white"/>
        </w:rPr>
        <w:t>T</w:t>
      </w:r>
      <w:r>
        <w:rPr>
          <w:sz w:val="24"/>
          <w:szCs w:val="24"/>
          <w:highlight w:val="white"/>
        </w:rPr>
        <w:t xml:space="preserve">here </w:t>
      </w:r>
      <w:r w:rsidR="003915B6">
        <w:rPr>
          <w:sz w:val="24"/>
          <w:szCs w:val="24"/>
          <w:highlight w:val="white"/>
        </w:rPr>
        <w:t>will be</w:t>
      </w:r>
      <w:r>
        <w:rPr>
          <w:sz w:val="24"/>
          <w:szCs w:val="24"/>
          <w:highlight w:val="white"/>
        </w:rPr>
        <w:t xml:space="preserve"> </w:t>
      </w:r>
      <w:r w:rsidRPr="002868ED">
        <w:rPr>
          <w:b/>
          <w:sz w:val="24"/>
          <w:szCs w:val="24"/>
          <w:highlight w:val="white"/>
        </w:rPr>
        <w:t>two exams</w:t>
      </w:r>
      <w:r w:rsidR="003915B6">
        <w:rPr>
          <w:sz w:val="24"/>
          <w:szCs w:val="24"/>
          <w:highlight w:val="white"/>
        </w:rPr>
        <w:t xml:space="preserve">: Exam 1 will cover </w:t>
      </w:r>
      <w:r>
        <w:rPr>
          <w:sz w:val="24"/>
          <w:szCs w:val="24"/>
          <w:highlight w:val="white"/>
        </w:rPr>
        <w:t xml:space="preserve">modules 1-3 </w:t>
      </w:r>
      <w:r w:rsidR="003915B6">
        <w:rPr>
          <w:sz w:val="24"/>
          <w:szCs w:val="24"/>
          <w:highlight w:val="white"/>
        </w:rPr>
        <w:t xml:space="preserve">and be held in the middle of the semester; Exam 2 will cover modules </w:t>
      </w:r>
      <w:r>
        <w:rPr>
          <w:sz w:val="24"/>
          <w:szCs w:val="24"/>
          <w:highlight w:val="white"/>
        </w:rPr>
        <w:t xml:space="preserve">4-6 </w:t>
      </w:r>
      <w:r w:rsidR="003915B6">
        <w:rPr>
          <w:sz w:val="24"/>
          <w:szCs w:val="24"/>
          <w:highlight w:val="white"/>
        </w:rPr>
        <w:t>and be held at the end of the semester</w:t>
      </w:r>
      <w:r>
        <w:rPr>
          <w:sz w:val="24"/>
          <w:szCs w:val="24"/>
          <w:highlight w:val="white"/>
        </w:rPr>
        <w:t xml:space="preserve">.   </w:t>
      </w:r>
    </w:p>
    <w:p w14:paraId="40CFCB00" w14:textId="77777777" w:rsidR="001408F6" w:rsidRDefault="001408F6" w:rsidP="001408F6">
      <w:pPr>
        <w:spacing w:after="40"/>
        <w:contextualSpacing/>
        <w:rPr>
          <w:rFonts w:ascii="Verdana" w:eastAsia="Verdana" w:hAnsi="Verdana" w:cs="Verdana"/>
          <w:b/>
          <w:sz w:val="24"/>
          <w:szCs w:val="24"/>
        </w:rPr>
      </w:pPr>
    </w:p>
    <w:p w14:paraId="7EAB8474" w14:textId="77777777" w:rsidR="005578E5" w:rsidRDefault="004E254E" w:rsidP="001408F6">
      <w:pPr>
        <w:spacing w:after="40"/>
        <w:contextualSpacing/>
        <w:rPr>
          <w:rFonts w:ascii="Verdana" w:eastAsia="Verdana" w:hAnsi="Verdana" w:cs="Verdana"/>
          <w:b/>
          <w:sz w:val="24"/>
          <w:szCs w:val="24"/>
        </w:rPr>
      </w:pPr>
      <w:r>
        <w:rPr>
          <w:rFonts w:ascii="Verdana" w:eastAsia="Verdana" w:hAnsi="Verdana" w:cs="Verdana"/>
          <w:b/>
          <w:sz w:val="24"/>
          <w:szCs w:val="24"/>
        </w:rPr>
        <w:lastRenderedPageBreak/>
        <w:t>Course Objectives</w:t>
      </w:r>
    </w:p>
    <w:p w14:paraId="150564F5" w14:textId="77777777" w:rsidR="005578E5" w:rsidRDefault="004E254E" w:rsidP="001408F6">
      <w:pPr>
        <w:spacing w:after="40"/>
        <w:ind w:left="72"/>
        <w:contextualSpacing/>
        <w:rPr>
          <w:rFonts w:ascii="Verdana" w:eastAsia="Verdana" w:hAnsi="Verdana" w:cs="Verdana"/>
        </w:rPr>
      </w:pPr>
      <w:r>
        <w:rPr>
          <w:sz w:val="24"/>
          <w:szCs w:val="24"/>
        </w:rPr>
        <w:t>This course is designed to provide students with a foundationa</w:t>
      </w:r>
      <w:r w:rsidR="00CE7FFA">
        <w:rPr>
          <w:sz w:val="24"/>
          <w:szCs w:val="24"/>
        </w:rPr>
        <w:t xml:space="preserve">l understanding of metagenomics. At the completion of the course, students will </w:t>
      </w:r>
      <w:r>
        <w:rPr>
          <w:sz w:val="24"/>
          <w:szCs w:val="24"/>
        </w:rPr>
        <w:t>understand experimental design and best practices for amplicon and whole-genome shotgun next-generation sequencing, bioinformatics analyses and interpretation of real-world microbiome datasets, and computational skills for executing bioinformatics pipelines on the UA high-performance computer. Over the course of the semester, students explore original research from the human to Earth microbiome to understand how these techniques have been applied and resulted in new discoveries on interactions between microbes, their hosts, and the environment.</w:t>
      </w:r>
    </w:p>
    <w:p w14:paraId="0AFEC693" w14:textId="77777777" w:rsidR="005578E5" w:rsidRDefault="005578E5" w:rsidP="001408F6">
      <w:pPr>
        <w:contextualSpacing/>
        <w:rPr>
          <w:rFonts w:ascii="Verdana" w:eastAsia="Verdana" w:hAnsi="Verdana" w:cs="Verdana"/>
        </w:rPr>
      </w:pPr>
    </w:p>
    <w:p w14:paraId="6B14B863" w14:textId="77777777" w:rsidR="005578E5" w:rsidRDefault="004E254E" w:rsidP="001408F6">
      <w:pPr>
        <w:spacing w:after="40"/>
        <w:contextualSpacing/>
        <w:rPr>
          <w:rFonts w:ascii="Verdana" w:eastAsia="Verdana" w:hAnsi="Verdana" w:cs="Verdana"/>
          <w:b/>
          <w:sz w:val="24"/>
          <w:szCs w:val="24"/>
        </w:rPr>
      </w:pPr>
      <w:r>
        <w:rPr>
          <w:rFonts w:ascii="Verdana" w:eastAsia="Verdana" w:hAnsi="Verdana" w:cs="Verdana"/>
          <w:b/>
          <w:sz w:val="24"/>
          <w:szCs w:val="24"/>
        </w:rPr>
        <w:t>Expected Learning Outcomes</w:t>
      </w:r>
    </w:p>
    <w:p w14:paraId="14F296A5" w14:textId="77777777" w:rsidR="00DA7ECF" w:rsidRDefault="00DA7ECF" w:rsidP="001408F6">
      <w:pPr>
        <w:spacing w:after="40"/>
        <w:ind w:left="72"/>
        <w:contextualSpacing/>
        <w:rPr>
          <w:b/>
          <w:sz w:val="24"/>
          <w:szCs w:val="24"/>
        </w:rPr>
      </w:pPr>
    </w:p>
    <w:p w14:paraId="3989E1FA" w14:textId="77777777" w:rsidR="002868ED" w:rsidRPr="002868ED" w:rsidRDefault="004E254E" w:rsidP="001408F6">
      <w:pPr>
        <w:spacing w:after="40"/>
        <w:ind w:left="72"/>
        <w:contextualSpacing/>
        <w:rPr>
          <w:b/>
          <w:sz w:val="24"/>
          <w:szCs w:val="24"/>
        </w:rPr>
      </w:pPr>
      <w:r w:rsidRPr="002868ED">
        <w:rPr>
          <w:b/>
          <w:sz w:val="24"/>
          <w:szCs w:val="24"/>
        </w:rPr>
        <w:t xml:space="preserve">Upon completing this course students will be able to: </w:t>
      </w:r>
    </w:p>
    <w:p w14:paraId="79AF09D6" w14:textId="77777777" w:rsidR="002868ED" w:rsidRDefault="004E254E" w:rsidP="001408F6">
      <w:pPr>
        <w:spacing w:after="40"/>
        <w:ind w:left="630" w:right="54"/>
        <w:contextualSpacing/>
        <w:rPr>
          <w:sz w:val="24"/>
          <w:szCs w:val="24"/>
          <w:highlight w:val="white"/>
        </w:rPr>
      </w:pPr>
      <w:r>
        <w:rPr>
          <w:sz w:val="24"/>
          <w:szCs w:val="24"/>
          <w:highlight w:val="white"/>
        </w:rPr>
        <w:t xml:space="preserve">(1) </w:t>
      </w:r>
      <w:r>
        <w:rPr>
          <w:sz w:val="24"/>
          <w:szCs w:val="24"/>
        </w:rPr>
        <w:t>Use UNIX utilities to create, edit, manag</w:t>
      </w:r>
      <w:r w:rsidR="00CF5B94">
        <w:rPr>
          <w:sz w:val="24"/>
          <w:szCs w:val="24"/>
        </w:rPr>
        <w:t xml:space="preserve">e files/directories, and submit analyses </w:t>
      </w:r>
      <w:r>
        <w:rPr>
          <w:sz w:val="24"/>
          <w:szCs w:val="24"/>
        </w:rPr>
        <w:t>on the campus high-performance compute cluster</w:t>
      </w:r>
      <w:r w:rsidR="002868ED">
        <w:rPr>
          <w:sz w:val="24"/>
          <w:szCs w:val="24"/>
          <w:highlight w:val="white"/>
        </w:rPr>
        <w:t>;</w:t>
      </w:r>
    </w:p>
    <w:p w14:paraId="4B1944A9" w14:textId="77777777" w:rsidR="001408F6" w:rsidRDefault="001408F6" w:rsidP="001408F6">
      <w:pPr>
        <w:spacing w:after="40"/>
        <w:ind w:left="630" w:right="54"/>
        <w:contextualSpacing/>
        <w:rPr>
          <w:sz w:val="24"/>
          <w:szCs w:val="24"/>
          <w:highlight w:val="white"/>
        </w:rPr>
      </w:pPr>
    </w:p>
    <w:p w14:paraId="236BF338" w14:textId="77777777" w:rsidR="002868ED" w:rsidRDefault="004E254E" w:rsidP="001408F6">
      <w:pPr>
        <w:spacing w:after="40"/>
        <w:ind w:left="630" w:right="54"/>
        <w:contextualSpacing/>
        <w:rPr>
          <w:sz w:val="24"/>
          <w:szCs w:val="24"/>
        </w:rPr>
      </w:pPr>
      <w:r w:rsidRPr="00012CE9">
        <w:rPr>
          <w:sz w:val="24"/>
          <w:szCs w:val="24"/>
        </w:rPr>
        <w:t xml:space="preserve">(2) </w:t>
      </w:r>
      <w:r w:rsidR="00012CE9" w:rsidRPr="00012CE9">
        <w:rPr>
          <w:sz w:val="24"/>
          <w:szCs w:val="24"/>
        </w:rPr>
        <w:t xml:space="preserve">Define microbial ecological concepts (e.g., richness, </w:t>
      </w:r>
      <w:r w:rsidRPr="00012CE9">
        <w:rPr>
          <w:sz w:val="24"/>
          <w:szCs w:val="24"/>
        </w:rPr>
        <w:t>diversity</w:t>
      </w:r>
      <w:r w:rsidR="00012CE9" w:rsidRPr="00012CE9">
        <w:rPr>
          <w:sz w:val="24"/>
          <w:szCs w:val="24"/>
        </w:rPr>
        <w:t xml:space="preserve">, OTU) and </w:t>
      </w:r>
      <w:r w:rsidRPr="00012CE9">
        <w:rPr>
          <w:sz w:val="24"/>
          <w:szCs w:val="24"/>
        </w:rPr>
        <w:t xml:space="preserve">multivariate </w:t>
      </w:r>
      <w:r w:rsidR="00012CE9" w:rsidRPr="00012CE9">
        <w:rPr>
          <w:sz w:val="24"/>
          <w:szCs w:val="24"/>
        </w:rPr>
        <w:t>statistical methods</w:t>
      </w:r>
      <w:r w:rsidRPr="00012CE9">
        <w:rPr>
          <w:sz w:val="24"/>
          <w:szCs w:val="24"/>
        </w:rPr>
        <w:t xml:space="preserve"> </w:t>
      </w:r>
      <w:r w:rsidR="00012CE9" w:rsidRPr="00012CE9">
        <w:rPr>
          <w:sz w:val="24"/>
          <w:szCs w:val="24"/>
        </w:rPr>
        <w:t xml:space="preserve">used </w:t>
      </w:r>
      <w:r w:rsidRPr="00012CE9">
        <w:rPr>
          <w:sz w:val="24"/>
          <w:szCs w:val="24"/>
        </w:rPr>
        <w:t xml:space="preserve">to compare and contrast </w:t>
      </w:r>
      <w:r w:rsidR="002868ED" w:rsidRPr="00012CE9">
        <w:rPr>
          <w:sz w:val="24"/>
          <w:szCs w:val="24"/>
        </w:rPr>
        <w:t>microbial communities;</w:t>
      </w:r>
    </w:p>
    <w:p w14:paraId="7F5E6D6D" w14:textId="77777777" w:rsidR="001408F6" w:rsidRDefault="001408F6" w:rsidP="001408F6">
      <w:pPr>
        <w:spacing w:after="40"/>
        <w:ind w:left="630" w:right="54"/>
        <w:contextualSpacing/>
        <w:rPr>
          <w:sz w:val="24"/>
          <w:szCs w:val="24"/>
        </w:rPr>
      </w:pPr>
    </w:p>
    <w:p w14:paraId="6498F6BE" w14:textId="77777777" w:rsidR="002868ED" w:rsidRDefault="004E254E" w:rsidP="001408F6">
      <w:pPr>
        <w:spacing w:after="40"/>
        <w:ind w:left="630" w:right="54"/>
        <w:contextualSpacing/>
        <w:rPr>
          <w:sz w:val="24"/>
          <w:szCs w:val="24"/>
          <w:highlight w:val="white"/>
        </w:rPr>
      </w:pPr>
      <w:r>
        <w:rPr>
          <w:sz w:val="24"/>
          <w:szCs w:val="24"/>
        </w:rPr>
        <w:t xml:space="preserve">(3) Synthesize and list </w:t>
      </w:r>
      <w:r w:rsidR="00012CE9">
        <w:rPr>
          <w:sz w:val="24"/>
          <w:szCs w:val="24"/>
        </w:rPr>
        <w:t xml:space="preserve">common sources of bias in metagenomic studies and </w:t>
      </w:r>
      <w:r>
        <w:rPr>
          <w:sz w:val="24"/>
          <w:szCs w:val="24"/>
        </w:rPr>
        <w:t xml:space="preserve">best practices for </w:t>
      </w:r>
      <w:r w:rsidR="00CF5B94">
        <w:rPr>
          <w:sz w:val="24"/>
          <w:szCs w:val="24"/>
        </w:rPr>
        <w:t xml:space="preserve">scientific </w:t>
      </w:r>
      <w:r>
        <w:rPr>
          <w:sz w:val="24"/>
          <w:szCs w:val="24"/>
        </w:rPr>
        <w:t>reproducibility, replicability, robustness, and generalizabil</w:t>
      </w:r>
      <w:r w:rsidR="002868ED">
        <w:rPr>
          <w:sz w:val="24"/>
          <w:szCs w:val="24"/>
        </w:rPr>
        <w:t>ity for metagenomic experiments;</w:t>
      </w:r>
    </w:p>
    <w:p w14:paraId="5B3EB282" w14:textId="77777777" w:rsidR="001408F6" w:rsidRDefault="001408F6" w:rsidP="001408F6">
      <w:pPr>
        <w:spacing w:after="40"/>
        <w:ind w:left="630" w:right="54"/>
        <w:contextualSpacing/>
        <w:rPr>
          <w:sz w:val="24"/>
          <w:szCs w:val="24"/>
          <w:highlight w:val="white"/>
        </w:rPr>
      </w:pPr>
    </w:p>
    <w:p w14:paraId="0F531D1D" w14:textId="77777777" w:rsidR="002868ED" w:rsidRDefault="004E254E" w:rsidP="001408F6">
      <w:pPr>
        <w:spacing w:after="40"/>
        <w:ind w:left="630" w:right="54"/>
        <w:contextualSpacing/>
        <w:rPr>
          <w:sz w:val="24"/>
          <w:szCs w:val="24"/>
          <w:highlight w:val="white"/>
        </w:rPr>
      </w:pPr>
      <w:r>
        <w:rPr>
          <w:sz w:val="24"/>
          <w:szCs w:val="24"/>
          <w:highlight w:val="white"/>
        </w:rPr>
        <w:t xml:space="preserve">(4) Compare and contrast </w:t>
      </w:r>
      <w:r w:rsidR="00DA7ECF">
        <w:rPr>
          <w:sz w:val="24"/>
          <w:szCs w:val="24"/>
          <w:highlight w:val="white"/>
        </w:rPr>
        <w:t xml:space="preserve">the pros and cons of </w:t>
      </w:r>
      <w:r w:rsidR="00CF5B94">
        <w:rPr>
          <w:sz w:val="24"/>
          <w:szCs w:val="24"/>
          <w:highlight w:val="white"/>
        </w:rPr>
        <w:t>whole genome shotgun (WGS)</w:t>
      </w:r>
      <w:r>
        <w:rPr>
          <w:sz w:val="24"/>
          <w:szCs w:val="24"/>
          <w:highlight w:val="white"/>
        </w:rPr>
        <w:t xml:space="preserve"> vs amplicon sequencing </w:t>
      </w:r>
      <w:r w:rsidR="00DA7ECF">
        <w:rPr>
          <w:sz w:val="24"/>
          <w:szCs w:val="24"/>
          <w:highlight w:val="white"/>
        </w:rPr>
        <w:t>for understanding microbial taxonomy, diversity, and function</w:t>
      </w:r>
      <w:r w:rsidR="002868ED">
        <w:rPr>
          <w:sz w:val="24"/>
          <w:szCs w:val="24"/>
          <w:highlight w:val="white"/>
        </w:rPr>
        <w:t>;</w:t>
      </w:r>
    </w:p>
    <w:p w14:paraId="0290ACFE" w14:textId="77777777" w:rsidR="001408F6" w:rsidRDefault="001408F6" w:rsidP="001408F6">
      <w:pPr>
        <w:spacing w:after="40"/>
        <w:ind w:left="630" w:right="54"/>
        <w:contextualSpacing/>
        <w:rPr>
          <w:sz w:val="24"/>
          <w:szCs w:val="24"/>
          <w:highlight w:val="white"/>
        </w:rPr>
      </w:pPr>
    </w:p>
    <w:p w14:paraId="03493C62" w14:textId="77777777" w:rsidR="002868ED" w:rsidRDefault="004E254E" w:rsidP="001408F6">
      <w:pPr>
        <w:spacing w:after="40"/>
        <w:ind w:left="630" w:right="54"/>
        <w:contextualSpacing/>
        <w:rPr>
          <w:sz w:val="24"/>
          <w:szCs w:val="24"/>
          <w:highlight w:val="white"/>
        </w:rPr>
      </w:pPr>
      <w:r>
        <w:rPr>
          <w:sz w:val="24"/>
          <w:szCs w:val="24"/>
          <w:highlight w:val="white"/>
        </w:rPr>
        <w:t xml:space="preserve">(5) </w:t>
      </w:r>
      <w:r>
        <w:rPr>
          <w:sz w:val="24"/>
          <w:szCs w:val="24"/>
        </w:rPr>
        <w:t>List all steps involved in a workflow to assemble and annotate a genome from a metagenome, find genes, and annotate proteins</w:t>
      </w:r>
      <w:r>
        <w:rPr>
          <w:sz w:val="24"/>
          <w:szCs w:val="24"/>
          <w:highlight w:val="white"/>
        </w:rPr>
        <w:t xml:space="preserve"> next-gene</w:t>
      </w:r>
      <w:r w:rsidR="002868ED">
        <w:rPr>
          <w:sz w:val="24"/>
          <w:szCs w:val="24"/>
          <w:highlight w:val="white"/>
        </w:rPr>
        <w:t>ration sequencing technologies;</w:t>
      </w:r>
    </w:p>
    <w:p w14:paraId="2B9E203F" w14:textId="77777777" w:rsidR="001408F6" w:rsidRDefault="001408F6" w:rsidP="001408F6">
      <w:pPr>
        <w:spacing w:after="40"/>
        <w:ind w:left="630" w:right="54"/>
        <w:contextualSpacing/>
        <w:rPr>
          <w:sz w:val="24"/>
          <w:szCs w:val="24"/>
          <w:highlight w:val="white"/>
        </w:rPr>
      </w:pPr>
    </w:p>
    <w:p w14:paraId="6C47D48A" w14:textId="77777777" w:rsidR="005578E5" w:rsidRDefault="004E254E" w:rsidP="001408F6">
      <w:pPr>
        <w:spacing w:after="40"/>
        <w:ind w:left="630" w:right="54"/>
        <w:contextualSpacing/>
        <w:rPr>
          <w:sz w:val="24"/>
          <w:szCs w:val="24"/>
          <w:highlight w:val="white"/>
        </w:rPr>
      </w:pPr>
      <w:r>
        <w:rPr>
          <w:sz w:val="24"/>
          <w:szCs w:val="24"/>
          <w:highlight w:val="white"/>
        </w:rPr>
        <w:t xml:space="preserve">(6) </w:t>
      </w:r>
      <w:r>
        <w:rPr>
          <w:sz w:val="24"/>
          <w:szCs w:val="24"/>
        </w:rPr>
        <w:t>List the steps involved in connecting ‘omics data to environmental features using comparative metagenomic methods.</w:t>
      </w:r>
    </w:p>
    <w:p w14:paraId="1AB1AB85" w14:textId="77777777" w:rsidR="005578E5" w:rsidRDefault="005578E5" w:rsidP="001408F6">
      <w:pPr>
        <w:spacing w:after="40"/>
        <w:ind w:left="72"/>
        <w:contextualSpacing/>
        <w:rPr>
          <w:sz w:val="24"/>
          <w:szCs w:val="24"/>
          <w:highlight w:val="white"/>
        </w:rPr>
      </w:pPr>
    </w:p>
    <w:p w14:paraId="2D0DCAAF" w14:textId="77777777" w:rsidR="002868ED" w:rsidRPr="002868ED" w:rsidRDefault="004E254E" w:rsidP="00DA7ECF">
      <w:pPr>
        <w:spacing w:after="40"/>
        <w:ind w:left="72"/>
        <w:contextualSpacing/>
        <w:rPr>
          <w:b/>
          <w:sz w:val="24"/>
          <w:szCs w:val="24"/>
          <w:highlight w:val="white"/>
        </w:rPr>
      </w:pPr>
      <w:r w:rsidRPr="002868ED">
        <w:rPr>
          <w:b/>
          <w:sz w:val="24"/>
          <w:szCs w:val="24"/>
          <w:highlight w:val="white"/>
        </w:rPr>
        <w:t>Graduate students will go beyond t</w:t>
      </w:r>
      <w:r w:rsidR="002868ED" w:rsidRPr="002868ED">
        <w:rPr>
          <w:b/>
          <w:sz w:val="24"/>
          <w:szCs w:val="24"/>
          <w:highlight w:val="white"/>
        </w:rPr>
        <w:t>hese basic learning outcomes to:</w:t>
      </w:r>
    </w:p>
    <w:p w14:paraId="05256C5A" w14:textId="77777777" w:rsidR="002868ED" w:rsidRDefault="00CF5B94" w:rsidP="001408F6">
      <w:pPr>
        <w:spacing w:after="40"/>
        <w:ind w:left="630"/>
        <w:contextualSpacing/>
        <w:rPr>
          <w:sz w:val="24"/>
          <w:szCs w:val="24"/>
          <w:highlight w:val="white"/>
        </w:rPr>
      </w:pPr>
      <w:r>
        <w:rPr>
          <w:sz w:val="24"/>
          <w:szCs w:val="24"/>
          <w:highlight w:val="white"/>
        </w:rPr>
        <w:t>(</w:t>
      </w:r>
      <w:r w:rsidR="00012CE9">
        <w:rPr>
          <w:sz w:val="24"/>
          <w:szCs w:val="24"/>
          <w:highlight w:val="white"/>
        </w:rPr>
        <w:t>1</w:t>
      </w:r>
      <w:r>
        <w:rPr>
          <w:sz w:val="24"/>
          <w:szCs w:val="24"/>
          <w:highlight w:val="white"/>
        </w:rPr>
        <w:t>) U</w:t>
      </w:r>
      <w:r w:rsidR="004E254E">
        <w:rPr>
          <w:sz w:val="24"/>
          <w:szCs w:val="24"/>
          <w:highlight w:val="white"/>
        </w:rPr>
        <w:t xml:space="preserve">nderstand </w:t>
      </w:r>
      <w:r>
        <w:rPr>
          <w:sz w:val="24"/>
          <w:szCs w:val="24"/>
          <w:highlight w:val="white"/>
        </w:rPr>
        <w:t xml:space="preserve">and explain </w:t>
      </w:r>
      <w:r w:rsidR="004E254E">
        <w:rPr>
          <w:sz w:val="24"/>
          <w:szCs w:val="24"/>
          <w:highlight w:val="white"/>
        </w:rPr>
        <w:t>the challenges of “microbial dark matte</w:t>
      </w:r>
      <w:r w:rsidR="002868ED">
        <w:rPr>
          <w:sz w:val="24"/>
          <w:szCs w:val="24"/>
          <w:highlight w:val="white"/>
        </w:rPr>
        <w:t>r”;</w:t>
      </w:r>
    </w:p>
    <w:p w14:paraId="07BA64D5" w14:textId="77777777" w:rsidR="001408F6" w:rsidRDefault="001408F6" w:rsidP="001408F6">
      <w:pPr>
        <w:spacing w:after="40"/>
        <w:contextualSpacing/>
        <w:rPr>
          <w:sz w:val="24"/>
          <w:szCs w:val="24"/>
          <w:highlight w:val="white"/>
        </w:rPr>
      </w:pPr>
    </w:p>
    <w:p w14:paraId="14BAF255" w14:textId="77777777" w:rsidR="005578E5" w:rsidRDefault="00012CE9" w:rsidP="001408F6">
      <w:pPr>
        <w:spacing w:after="40"/>
        <w:ind w:left="630"/>
        <w:contextualSpacing/>
        <w:rPr>
          <w:sz w:val="24"/>
          <w:szCs w:val="24"/>
          <w:highlight w:val="white"/>
        </w:rPr>
      </w:pPr>
      <w:r>
        <w:rPr>
          <w:sz w:val="24"/>
          <w:szCs w:val="24"/>
          <w:highlight w:val="white"/>
        </w:rPr>
        <w:t>(2</w:t>
      </w:r>
      <w:r w:rsidR="00CF5B94">
        <w:rPr>
          <w:sz w:val="24"/>
          <w:szCs w:val="24"/>
          <w:highlight w:val="white"/>
        </w:rPr>
        <w:t>) A</w:t>
      </w:r>
      <w:r w:rsidR="004E254E">
        <w:rPr>
          <w:sz w:val="24"/>
          <w:szCs w:val="24"/>
          <w:highlight w:val="white"/>
        </w:rPr>
        <w:t xml:space="preserve">rticulate </w:t>
      </w:r>
      <w:r w:rsidR="00CF5B94">
        <w:rPr>
          <w:sz w:val="24"/>
          <w:szCs w:val="24"/>
          <w:highlight w:val="white"/>
        </w:rPr>
        <w:t>how</w:t>
      </w:r>
      <w:r w:rsidR="004E254E">
        <w:rPr>
          <w:sz w:val="24"/>
          <w:szCs w:val="24"/>
          <w:highlight w:val="white"/>
        </w:rPr>
        <w:t xml:space="preserve"> differences in metagenomic tools, approaches, and algorithms </w:t>
      </w:r>
      <w:r w:rsidR="00CF5B94">
        <w:rPr>
          <w:sz w:val="24"/>
          <w:szCs w:val="24"/>
          <w:highlight w:val="white"/>
        </w:rPr>
        <w:t>that can lead to different results</w:t>
      </w:r>
      <w:r w:rsidR="002868ED">
        <w:rPr>
          <w:sz w:val="24"/>
          <w:szCs w:val="24"/>
          <w:highlight w:val="white"/>
        </w:rPr>
        <w:t>.</w:t>
      </w:r>
    </w:p>
    <w:p w14:paraId="62EF6E22" w14:textId="77777777" w:rsidR="005578E5" w:rsidRDefault="005578E5" w:rsidP="00353F35">
      <w:pPr>
        <w:contextualSpacing/>
        <w:rPr>
          <w:rFonts w:ascii="Verdana" w:eastAsia="Verdana" w:hAnsi="Verdana" w:cs="Verdana"/>
        </w:rPr>
      </w:pPr>
    </w:p>
    <w:p w14:paraId="16610497" w14:textId="77777777" w:rsidR="005578E5" w:rsidRDefault="004E254E" w:rsidP="001408F6">
      <w:pPr>
        <w:spacing w:after="40"/>
        <w:contextualSpacing/>
        <w:rPr>
          <w:rFonts w:ascii="Verdana" w:eastAsia="Verdana" w:hAnsi="Verdana" w:cs="Verdana"/>
          <w:sz w:val="24"/>
          <w:szCs w:val="24"/>
        </w:rPr>
      </w:pPr>
      <w:r>
        <w:rPr>
          <w:rFonts w:ascii="Verdana" w:eastAsia="Verdana" w:hAnsi="Verdana" w:cs="Verdana"/>
          <w:b/>
          <w:sz w:val="24"/>
          <w:szCs w:val="24"/>
        </w:rPr>
        <w:t>Makeup Policy for Students Who Register Late</w:t>
      </w:r>
    </w:p>
    <w:p w14:paraId="22F9E076" w14:textId="20DA714B" w:rsidR="005578E5" w:rsidRDefault="004E254E" w:rsidP="001408F6">
      <w:pPr>
        <w:ind w:left="72"/>
        <w:contextualSpacing/>
        <w:rPr>
          <w:b/>
          <w:sz w:val="24"/>
          <w:szCs w:val="24"/>
        </w:rPr>
      </w:pPr>
      <w:r>
        <w:rPr>
          <w:sz w:val="24"/>
          <w:szCs w:val="24"/>
        </w:rPr>
        <w:t xml:space="preserve">Students who register after the </w:t>
      </w:r>
      <w:proofErr w:type="gramStart"/>
      <w:r>
        <w:rPr>
          <w:sz w:val="24"/>
          <w:szCs w:val="24"/>
        </w:rPr>
        <w:t>first class</w:t>
      </w:r>
      <w:proofErr w:type="gramEnd"/>
      <w:r>
        <w:rPr>
          <w:sz w:val="24"/>
          <w:szCs w:val="24"/>
        </w:rPr>
        <w:t xml:space="preserve"> meeting may make up missed assignments by the deadline 9/</w:t>
      </w:r>
      <w:r w:rsidR="00071B01">
        <w:rPr>
          <w:sz w:val="24"/>
          <w:szCs w:val="24"/>
        </w:rPr>
        <w:t>6</w:t>
      </w:r>
      <w:r>
        <w:rPr>
          <w:sz w:val="24"/>
          <w:szCs w:val="24"/>
        </w:rPr>
        <w:t>/2</w:t>
      </w:r>
      <w:r w:rsidR="00071B01">
        <w:rPr>
          <w:sz w:val="24"/>
          <w:szCs w:val="24"/>
        </w:rPr>
        <w:t>2</w:t>
      </w:r>
      <w:r>
        <w:rPr>
          <w:sz w:val="24"/>
          <w:szCs w:val="24"/>
        </w:rPr>
        <w:t xml:space="preserve">. </w:t>
      </w:r>
    </w:p>
    <w:p w14:paraId="6724CCE8" w14:textId="77777777" w:rsidR="005578E5" w:rsidRDefault="005578E5" w:rsidP="001408F6">
      <w:pPr>
        <w:contextualSpacing/>
        <w:rPr>
          <w:rFonts w:ascii="Verdana" w:eastAsia="Verdana" w:hAnsi="Verdana" w:cs="Verdana"/>
        </w:rPr>
      </w:pPr>
    </w:p>
    <w:p w14:paraId="09D5C969" w14:textId="77777777" w:rsidR="005578E5" w:rsidRDefault="004E254E" w:rsidP="001408F6">
      <w:pPr>
        <w:spacing w:before="40"/>
        <w:contextualSpacing/>
        <w:rPr>
          <w:rFonts w:ascii="Verdana" w:eastAsia="Verdana" w:hAnsi="Verdana" w:cs="Verdana"/>
          <w:sz w:val="24"/>
          <w:szCs w:val="24"/>
        </w:rPr>
      </w:pPr>
      <w:r>
        <w:rPr>
          <w:rFonts w:ascii="Verdana" w:eastAsia="Verdana" w:hAnsi="Verdana" w:cs="Verdana"/>
          <w:b/>
          <w:sz w:val="24"/>
          <w:szCs w:val="24"/>
        </w:rPr>
        <w:t xml:space="preserve">Course Communications </w:t>
      </w:r>
    </w:p>
    <w:p w14:paraId="699C6E8D" w14:textId="77777777" w:rsidR="005578E5" w:rsidRDefault="004E254E" w:rsidP="001408F6">
      <w:pPr>
        <w:ind w:left="72"/>
        <w:contextualSpacing/>
        <w:rPr>
          <w:sz w:val="24"/>
          <w:szCs w:val="24"/>
        </w:rPr>
      </w:pPr>
      <w:r>
        <w:rPr>
          <w:sz w:val="24"/>
          <w:szCs w:val="24"/>
        </w:rPr>
        <w:t xml:space="preserve">Online communication, assignments, tests, and grading will be conducted through D2L. Course materials (reading, homework assignments, in-class exercises, and lectures) will also be available through D2L. Homework assignments will be turned in using D2L. All tests will be administered using D2L.   </w:t>
      </w:r>
    </w:p>
    <w:p w14:paraId="3149F3E9" w14:textId="77777777" w:rsidR="005578E5" w:rsidRDefault="005578E5" w:rsidP="001408F6">
      <w:pPr>
        <w:ind w:left="360"/>
        <w:contextualSpacing/>
        <w:rPr>
          <w:rFonts w:ascii="Verdana" w:eastAsia="Verdana" w:hAnsi="Verdana" w:cs="Verdana"/>
        </w:rPr>
      </w:pPr>
    </w:p>
    <w:p w14:paraId="7D1EFF91" w14:textId="77777777" w:rsidR="005578E5" w:rsidRDefault="004E254E" w:rsidP="001408F6">
      <w:pPr>
        <w:spacing w:after="40"/>
        <w:contextualSpacing/>
        <w:rPr>
          <w:sz w:val="24"/>
          <w:szCs w:val="24"/>
        </w:rPr>
      </w:pPr>
      <w:r>
        <w:rPr>
          <w:rFonts w:ascii="Verdana" w:eastAsia="Verdana" w:hAnsi="Verdana" w:cs="Verdana"/>
          <w:b/>
          <w:sz w:val="24"/>
          <w:szCs w:val="24"/>
        </w:rPr>
        <w:t>Required Texts or Readings</w:t>
      </w:r>
    </w:p>
    <w:p w14:paraId="293F5A49" w14:textId="77777777" w:rsidR="005578E5" w:rsidRDefault="004E254E" w:rsidP="001408F6">
      <w:pPr>
        <w:spacing w:after="120"/>
        <w:ind w:left="72"/>
        <w:contextualSpacing/>
        <w:rPr>
          <w:sz w:val="24"/>
          <w:szCs w:val="24"/>
        </w:rPr>
      </w:pPr>
      <w:r>
        <w:rPr>
          <w:sz w:val="24"/>
          <w:szCs w:val="24"/>
        </w:rPr>
        <w:lastRenderedPageBreak/>
        <w:t>Readings will be assigned for each learning module and posted or linked in D2L.</w:t>
      </w:r>
    </w:p>
    <w:p w14:paraId="7E7758B0" w14:textId="77777777" w:rsidR="005578E5" w:rsidRDefault="004E254E" w:rsidP="001408F6">
      <w:pPr>
        <w:spacing w:after="120"/>
        <w:contextualSpacing/>
        <w:rPr>
          <w:sz w:val="24"/>
          <w:szCs w:val="24"/>
        </w:rPr>
      </w:pPr>
      <w:r>
        <w:rPr>
          <w:sz w:val="24"/>
          <w:szCs w:val="24"/>
        </w:rPr>
        <w:t xml:space="preserve"> All texts and readings are available free of charge. </w:t>
      </w:r>
    </w:p>
    <w:p w14:paraId="439264A7" w14:textId="77777777" w:rsidR="00CF5B94" w:rsidRDefault="00CF5B94" w:rsidP="001408F6">
      <w:pPr>
        <w:spacing w:after="40"/>
        <w:contextualSpacing/>
        <w:rPr>
          <w:rFonts w:ascii="Verdana" w:eastAsia="Verdana" w:hAnsi="Verdana" w:cs="Verdana"/>
        </w:rPr>
      </w:pPr>
    </w:p>
    <w:p w14:paraId="622C394D" w14:textId="77777777" w:rsidR="005578E5" w:rsidRDefault="004E254E" w:rsidP="001408F6">
      <w:pPr>
        <w:spacing w:after="40"/>
        <w:contextualSpacing/>
        <w:rPr>
          <w:rFonts w:ascii="Verdana" w:eastAsia="Verdana" w:hAnsi="Verdana" w:cs="Verdana"/>
          <w:sz w:val="24"/>
          <w:szCs w:val="24"/>
        </w:rPr>
      </w:pPr>
      <w:r>
        <w:rPr>
          <w:rFonts w:ascii="Verdana" w:eastAsia="Verdana" w:hAnsi="Verdana" w:cs="Verdana"/>
          <w:b/>
          <w:sz w:val="24"/>
          <w:szCs w:val="24"/>
        </w:rPr>
        <w:t>Grading Scale and Policies</w:t>
      </w:r>
    </w:p>
    <w:p w14:paraId="559F289F" w14:textId="77777777" w:rsidR="005578E5" w:rsidRDefault="004E254E" w:rsidP="001408F6">
      <w:pPr>
        <w:spacing w:after="120"/>
        <w:ind w:left="72"/>
        <w:contextualSpacing/>
        <w:rPr>
          <w:sz w:val="24"/>
          <w:szCs w:val="24"/>
        </w:rPr>
      </w:pPr>
      <w:r>
        <w:rPr>
          <w:sz w:val="24"/>
          <w:szCs w:val="24"/>
        </w:rPr>
        <w:t>The final letter grades for the class are based on the TOTAL NUMBER OF POINTS that each student accumulates for the following assessments (see details for each category below):</w:t>
      </w:r>
    </w:p>
    <w:tbl>
      <w:tblPr>
        <w:tblStyle w:val="a"/>
        <w:tblW w:w="9030" w:type="dxa"/>
        <w:tblInd w:w="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680"/>
        <w:gridCol w:w="2580"/>
        <w:gridCol w:w="1365"/>
        <w:gridCol w:w="1710"/>
      </w:tblGrid>
      <w:tr w:rsidR="005578E5" w14:paraId="50F63F0A" w14:textId="77777777">
        <w:tc>
          <w:tcPr>
            <w:tcW w:w="1695" w:type="dxa"/>
            <w:shd w:val="clear" w:color="auto" w:fill="auto"/>
            <w:tcMar>
              <w:top w:w="100" w:type="dxa"/>
              <w:left w:w="100" w:type="dxa"/>
              <w:bottom w:w="100" w:type="dxa"/>
              <w:right w:w="100" w:type="dxa"/>
            </w:tcMar>
          </w:tcPr>
          <w:p w14:paraId="55E639F2" w14:textId="77777777" w:rsidR="005578E5" w:rsidRDefault="004E254E" w:rsidP="001408F6">
            <w:pPr>
              <w:contextualSpacing/>
              <w:rPr>
                <w:b/>
                <w:sz w:val="24"/>
                <w:szCs w:val="24"/>
              </w:rPr>
            </w:pPr>
            <w:r>
              <w:rPr>
                <w:b/>
                <w:sz w:val="24"/>
                <w:szCs w:val="24"/>
              </w:rPr>
              <w:t>Category</w:t>
            </w:r>
          </w:p>
        </w:tc>
        <w:tc>
          <w:tcPr>
            <w:tcW w:w="1680" w:type="dxa"/>
            <w:shd w:val="clear" w:color="auto" w:fill="auto"/>
            <w:tcMar>
              <w:top w:w="100" w:type="dxa"/>
              <w:left w:w="100" w:type="dxa"/>
              <w:bottom w:w="100" w:type="dxa"/>
              <w:right w:w="100" w:type="dxa"/>
            </w:tcMar>
          </w:tcPr>
          <w:p w14:paraId="7C49DF1D" w14:textId="77777777" w:rsidR="005578E5" w:rsidRDefault="004E254E" w:rsidP="001408F6">
            <w:pPr>
              <w:contextualSpacing/>
              <w:rPr>
                <w:b/>
                <w:sz w:val="24"/>
                <w:szCs w:val="24"/>
              </w:rPr>
            </w:pPr>
            <w:r>
              <w:rPr>
                <w:b/>
                <w:sz w:val="24"/>
                <w:szCs w:val="24"/>
              </w:rPr>
              <w:t># Assessments</w:t>
            </w:r>
          </w:p>
        </w:tc>
        <w:tc>
          <w:tcPr>
            <w:tcW w:w="2580" w:type="dxa"/>
            <w:shd w:val="clear" w:color="auto" w:fill="auto"/>
            <w:tcMar>
              <w:top w:w="100" w:type="dxa"/>
              <w:left w:w="100" w:type="dxa"/>
              <w:bottom w:w="100" w:type="dxa"/>
              <w:right w:w="100" w:type="dxa"/>
            </w:tcMar>
          </w:tcPr>
          <w:p w14:paraId="39015272" w14:textId="77777777" w:rsidR="005578E5" w:rsidRDefault="004E254E" w:rsidP="001408F6">
            <w:pPr>
              <w:contextualSpacing/>
              <w:rPr>
                <w:b/>
                <w:sz w:val="24"/>
                <w:szCs w:val="24"/>
              </w:rPr>
            </w:pPr>
            <w:r>
              <w:rPr>
                <w:b/>
                <w:sz w:val="24"/>
                <w:szCs w:val="24"/>
              </w:rPr>
              <w:t>Points per assessment</w:t>
            </w:r>
          </w:p>
        </w:tc>
        <w:tc>
          <w:tcPr>
            <w:tcW w:w="1365" w:type="dxa"/>
            <w:shd w:val="clear" w:color="auto" w:fill="auto"/>
            <w:tcMar>
              <w:top w:w="100" w:type="dxa"/>
              <w:left w:w="100" w:type="dxa"/>
              <w:bottom w:w="100" w:type="dxa"/>
              <w:right w:w="100" w:type="dxa"/>
            </w:tcMar>
          </w:tcPr>
          <w:p w14:paraId="02C4C373" w14:textId="77777777" w:rsidR="005578E5" w:rsidRDefault="004E254E" w:rsidP="001408F6">
            <w:pPr>
              <w:contextualSpacing/>
              <w:rPr>
                <w:b/>
                <w:sz w:val="24"/>
                <w:szCs w:val="24"/>
              </w:rPr>
            </w:pPr>
            <w:r>
              <w:rPr>
                <w:b/>
                <w:sz w:val="24"/>
                <w:szCs w:val="24"/>
              </w:rPr>
              <w:t>Percentage</w:t>
            </w:r>
          </w:p>
        </w:tc>
        <w:tc>
          <w:tcPr>
            <w:tcW w:w="1710" w:type="dxa"/>
            <w:shd w:val="clear" w:color="auto" w:fill="auto"/>
            <w:tcMar>
              <w:top w:w="100" w:type="dxa"/>
              <w:left w:w="100" w:type="dxa"/>
              <w:bottom w:w="100" w:type="dxa"/>
              <w:right w:w="100" w:type="dxa"/>
            </w:tcMar>
          </w:tcPr>
          <w:p w14:paraId="518AB2B2" w14:textId="77777777" w:rsidR="005578E5" w:rsidRDefault="004E254E" w:rsidP="001408F6">
            <w:pPr>
              <w:contextualSpacing/>
              <w:rPr>
                <w:b/>
                <w:sz w:val="24"/>
                <w:szCs w:val="24"/>
              </w:rPr>
            </w:pPr>
            <w:r>
              <w:rPr>
                <w:b/>
                <w:sz w:val="24"/>
                <w:szCs w:val="24"/>
              </w:rPr>
              <w:t>Points total</w:t>
            </w:r>
          </w:p>
        </w:tc>
      </w:tr>
      <w:tr w:rsidR="00192F19" w14:paraId="20EDD8FA" w14:textId="77777777">
        <w:tc>
          <w:tcPr>
            <w:tcW w:w="1695" w:type="dxa"/>
            <w:shd w:val="clear" w:color="auto" w:fill="auto"/>
            <w:tcMar>
              <w:top w:w="100" w:type="dxa"/>
              <w:left w:w="100" w:type="dxa"/>
              <w:bottom w:w="100" w:type="dxa"/>
              <w:right w:w="100" w:type="dxa"/>
            </w:tcMar>
          </w:tcPr>
          <w:p w14:paraId="11DD5474" w14:textId="77777777" w:rsidR="00192F19" w:rsidRPr="00192F19" w:rsidRDefault="00192F19" w:rsidP="00192F19">
            <w:pPr>
              <w:contextualSpacing/>
              <w:rPr>
                <w:b/>
                <w:sz w:val="24"/>
                <w:szCs w:val="24"/>
              </w:rPr>
            </w:pPr>
            <w:r w:rsidRPr="00192F19">
              <w:rPr>
                <w:b/>
                <w:sz w:val="24"/>
                <w:szCs w:val="24"/>
              </w:rPr>
              <w:t>In-Class Quizzes</w:t>
            </w:r>
          </w:p>
        </w:tc>
        <w:tc>
          <w:tcPr>
            <w:tcW w:w="1680" w:type="dxa"/>
            <w:shd w:val="clear" w:color="auto" w:fill="auto"/>
            <w:tcMar>
              <w:top w:w="100" w:type="dxa"/>
              <w:left w:w="100" w:type="dxa"/>
              <w:bottom w:w="100" w:type="dxa"/>
              <w:right w:w="100" w:type="dxa"/>
            </w:tcMar>
          </w:tcPr>
          <w:p w14:paraId="72FD963E" w14:textId="77777777" w:rsidR="00192F19" w:rsidRDefault="00192F19" w:rsidP="00192F19">
            <w:pPr>
              <w:contextualSpacing/>
              <w:rPr>
                <w:sz w:val="24"/>
                <w:szCs w:val="24"/>
              </w:rPr>
            </w:pPr>
            <w:r>
              <w:rPr>
                <w:sz w:val="24"/>
                <w:szCs w:val="24"/>
              </w:rPr>
              <w:t>12</w:t>
            </w:r>
          </w:p>
        </w:tc>
        <w:tc>
          <w:tcPr>
            <w:tcW w:w="2580" w:type="dxa"/>
            <w:shd w:val="clear" w:color="auto" w:fill="auto"/>
            <w:tcMar>
              <w:top w:w="100" w:type="dxa"/>
              <w:left w:w="100" w:type="dxa"/>
              <w:bottom w:w="100" w:type="dxa"/>
              <w:right w:w="100" w:type="dxa"/>
            </w:tcMar>
          </w:tcPr>
          <w:p w14:paraId="0579B9E5" w14:textId="77777777" w:rsidR="00192F19" w:rsidRDefault="00192F19" w:rsidP="00192F19">
            <w:pPr>
              <w:contextualSpacing/>
              <w:rPr>
                <w:sz w:val="24"/>
                <w:szCs w:val="24"/>
              </w:rPr>
            </w:pPr>
            <w:r>
              <w:rPr>
                <w:sz w:val="24"/>
                <w:szCs w:val="24"/>
              </w:rPr>
              <w:t>15</w:t>
            </w:r>
          </w:p>
        </w:tc>
        <w:tc>
          <w:tcPr>
            <w:tcW w:w="1365" w:type="dxa"/>
            <w:shd w:val="clear" w:color="auto" w:fill="auto"/>
            <w:tcMar>
              <w:top w:w="100" w:type="dxa"/>
              <w:left w:w="100" w:type="dxa"/>
              <w:bottom w:w="100" w:type="dxa"/>
              <w:right w:w="100" w:type="dxa"/>
            </w:tcMar>
          </w:tcPr>
          <w:p w14:paraId="29DD32ED" w14:textId="77777777" w:rsidR="00192F19" w:rsidRDefault="00192F19" w:rsidP="00192F19">
            <w:pPr>
              <w:contextualSpacing/>
              <w:rPr>
                <w:sz w:val="24"/>
                <w:szCs w:val="24"/>
              </w:rPr>
            </w:pPr>
            <w:r>
              <w:rPr>
                <w:sz w:val="24"/>
                <w:szCs w:val="24"/>
              </w:rPr>
              <w:t>18%</w:t>
            </w:r>
          </w:p>
        </w:tc>
        <w:tc>
          <w:tcPr>
            <w:tcW w:w="1710" w:type="dxa"/>
            <w:shd w:val="clear" w:color="auto" w:fill="auto"/>
            <w:tcMar>
              <w:top w:w="100" w:type="dxa"/>
              <w:left w:w="100" w:type="dxa"/>
              <w:bottom w:w="100" w:type="dxa"/>
              <w:right w:w="100" w:type="dxa"/>
            </w:tcMar>
          </w:tcPr>
          <w:p w14:paraId="25F7726F" w14:textId="77777777" w:rsidR="00192F19" w:rsidRDefault="00192F19" w:rsidP="00192F19">
            <w:pPr>
              <w:contextualSpacing/>
              <w:rPr>
                <w:sz w:val="24"/>
                <w:szCs w:val="24"/>
              </w:rPr>
            </w:pPr>
            <w:r>
              <w:rPr>
                <w:sz w:val="24"/>
                <w:szCs w:val="24"/>
              </w:rPr>
              <w:t>180</w:t>
            </w:r>
          </w:p>
        </w:tc>
      </w:tr>
      <w:tr w:rsidR="005578E5" w14:paraId="1B9E8751" w14:textId="77777777">
        <w:tc>
          <w:tcPr>
            <w:tcW w:w="1695" w:type="dxa"/>
            <w:shd w:val="clear" w:color="auto" w:fill="auto"/>
            <w:tcMar>
              <w:top w:w="100" w:type="dxa"/>
              <w:left w:w="100" w:type="dxa"/>
              <w:bottom w:w="100" w:type="dxa"/>
              <w:right w:w="100" w:type="dxa"/>
            </w:tcMar>
          </w:tcPr>
          <w:p w14:paraId="5FA9C1B0" w14:textId="77777777" w:rsidR="005578E5" w:rsidRPr="00192F19" w:rsidRDefault="004E254E" w:rsidP="001408F6">
            <w:pPr>
              <w:contextualSpacing/>
              <w:rPr>
                <w:b/>
                <w:sz w:val="24"/>
                <w:szCs w:val="24"/>
              </w:rPr>
            </w:pPr>
            <w:r w:rsidRPr="00192F19">
              <w:rPr>
                <w:b/>
                <w:sz w:val="24"/>
                <w:szCs w:val="24"/>
              </w:rPr>
              <w:t>Homework</w:t>
            </w:r>
          </w:p>
        </w:tc>
        <w:tc>
          <w:tcPr>
            <w:tcW w:w="1680" w:type="dxa"/>
            <w:shd w:val="clear" w:color="auto" w:fill="auto"/>
            <w:tcMar>
              <w:top w:w="100" w:type="dxa"/>
              <w:left w:w="100" w:type="dxa"/>
              <w:bottom w:w="100" w:type="dxa"/>
              <w:right w:w="100" w:type="dxa"/>
            </w:tcMar>
          </w:tcPr>
          <w:p w14:paraId="0E787919" w14:textId="77777777" w:rsidR="005578E5" w:rsidRDefault="004E254E" w:rsidP="001408F6">
            <w:pPr>
              <w:contextualSpacing/>
              <w:rPr>
                <w:sz w:val="24"/>
                <w:szCs w:val="24"/>
              </w:rPr>
            </w:pPr>
            <w:r>
              <w:rPr>
                <w:sz w:val="24"/>
                <w:szCs w:val="24"/>
              </w:rPr>
              <w:t>12</w:t>
            </w:r>
          </w:p>
        </w:tc>
        <w:tc>
          <w:tcPr>
            <w:tcW w:w="2580" w:type="dxa"/>
            <w:shd w:val="clear" w:color="auto" w:fill="auto"/>
            <w:tcMar>
              <w:top w:w="100" w:type="dxa"/>
              <w:left w:w="100" w:type="dxa"/>
              <w:bottom w:w="100" w:type="dxa"/>
              <w:right w:w="100" w:type="dxa"/>
            </w:tcMar>
          </w:tcPr>
          <w:p w14:paraId="3ECA66BC" w14:textId="77777777" w:rsidR="005578E5" w:rsidRDefault="00192F19" w:rsidP="001408F6">
            <w:pPr>
              <w:contextualSpacing/>
              <w:rPr>
                <w:sz w:val="24"/>
                <w:szCs w:val="24"/>
              </w:rPr>
            </w:pPr>
            <w:r>
              <w:rPr>
                <w:sz w:val="24"/>
                <w:szCs w:val="24"/>
              </w:rPr>
              <w:t>30</w:t>
            </w:r>
          </w:p>
        </w:tc>
        <w:tc>
          <w:tcPr>
            <w:tcW w:w="1365" w:type="dxa"/>
            <w:shd w:val="clear" w:color="auto" w:fill="auto"/>
            <w:tcMar>
              <w:top w:w="100" w:type="dxa"/>
              <w:left w:w="100" w:type="dxa"/>
              <w:bottom w:w="100" w:type="dxa"/>
              <w:right w:w="100" w:type="dxa"/>
            </w:tcMar>
          </w:tcPr>
          <w:p w14:paraId="75D40C0A" w14:textId="77777777" w:rsidR="005578E5" w:rsidRDefault="00192F19" w:rsidP="001408F6">
            <w:pPr>
              <w:contextualSpacing/>
              <w:rPr>
                <w:sz w:val="24"/>
                <w:szCs w:val="24"/>
              </w:rPr>
            </w:pPr>
            <w:r>
              <w:rPr>
                <w:sz w:val="24"/>
                <w:szCs w:val="24"/>
              </w:rPr>
              <w:t>36</w:t>
            </w:r>
            <w:r w:rsidR="004E254E">
              <w:rPr>
                <w:sz w:val="24"/>
                <w:szCs w:val="24"/>
              </w:rPr>
              <w:t>%</w:t>
            </w:r>
          </w:p>
        </w:tc>
        <w:tc>
          <w:tcPr>
            <w:tcW w:w="1710" w:type="dxa"/>
            <w:shd w:val="clear" w:color="auto" w:fill="auto"/>
            <w:tcMar>
              <w:top w:w="100" w:type="dxa"/>
              <w:left w:w="100" w:type="dxa"/>
              <w:bottom w:w="100" w:type="dxa"/>
              <w:right w:w="100" w:type="dxa"/>
            </w:tcMar>
          </w:tcPr>
          <w:p w14:paraId="62DEE25A" w14:textId="77777777" w:rsidR="005578E5" w:rsidRDefault="004E254E" w:rsidP="001408F6">
            <w:pPr>
              <w:contextualSpacing/>
              <w:rPr>
                <w:sz w:val="24"/>
                <w:szCs w:val="24"/>
              </w:rPr>
            </w:pPr>
            <w:r>
              <w:rPr>
                <w:sz w:val="24"/>
                <w:szCs w:val="24"/>
              </w:rPr>
              <w:t>3</w:t>
            </w:r>
            <w:r w:rsidR="00192F19">
              <w:rPr>
                <w:sz w:val="24"/>
                <w:szCs w:val="24"/>
              </w:rPr>
              <w:t>60</w:t>
            </w:r>
          </w:p>
        </w:tc>
      </w:tr>
      <w:tr w:rsidR="005578E5" w14:paraId="658C84BA" w14:textId="77777777">
        <w:tc>
          <w:tcPr>
            <w:tcW w:w="1695" w:type="dxa"/>
            <w:shd w:val="clear" w:color="auto" w:fill="auto"/>
            <w:tcMar>
              <w:top w:w="100" w:type="dxa"/>
              <w:left w:w="100" w:type="dxa"/>
              <w:bottom w:w="100" w:type="dxa"/>
              <w:right w:w="100" w:type="dxa"/>
            </w:tcMar>
          </w:tcPr>
          <w:p w14:paraId="2BB9E221" w14:textId="77777777" w:rsidR="005578E5" w:rsidRPr="00192F19" w:rsidRDefault="00353F35" w:rsidP="001408F6">
            <w:pPr>
              <w:contextualSpacing/>
              <w:rPr>
                <w:b/>
                <w:sz w:val="24"/>
                <w:szCs w:val="24"/>
              </w:rPr>
            </w:pPr>
            <w:r w:rsidRPr="00192F19">
              <w:rPr>
                <w:b/>
                <w:sz w:val="24"/>
                <w:szCs w:val="24"/>
              </w:rPr>
              <w:t>Journal Club Questions</w:t>
            </w:r>
          </w:p>
        </w:tc>
        <w:tc>
          <w:tcPr>
            <w:tcW w:w="1680" w:type="dxa"/>
            <w:shd w:val="clear" w:color="auto" w:fill="auto"/>
            <w:tcMar>
              <w:top w:w="100" w:type="dxa"/>
              <w:left w:w="100" w:type="dxa"/>
              <w:bottom w:w="100" w:type="dxa"/>
              <w:right w:w="100" w:type="dxa"/>
            </w:tcMar>
          </w:tcPr>
          <w:p w14:paraId="1524CC34" w14:textId="77777777" w:rsidR="005578E5" w:rsidRPr="00192F19" w:rsidRDefault="004E254E" w:rsidP="001408F6">
            <w:pPr>
              <w:contextualSpacing/>
              <w:rPr>
                <w:sz w:val="24"/>
                <w:szCs w:val="24"/>
              </w:rPr>
            </w:pPr>
            <w:r w:rsidRPr="00192F19">
              <w:rPr>
                <w:sz w:val="24"/>
                <w:szCs w:val="24"/>
              </w:rPr>
              <w:t>6</w:t>
            </w:r>
          </w:p>
        </w:tc>
        <w:tc>
          <w:tcPr>
            <w:tcW w:w="2580" w:type="dxa"/>
            <w:shd w:val="clear" w:color="auto" w:fill="auto"/>
            <w:tcMar>
              <w:top w:w="100" w:type="dxa"/>
              <w:left w:w="100" w:type="dxa"/>
              <w:bottom w:w="100" w:type="dxa"/>
              <w:right w:w="100" w:type="dxa"/>
            </w:tcMar>
          </w:tcPr>
          <w:p w14:paraId="3FBAB3EB" w14:textId="77777777" w:rsidR="005578E5" w:rsidRPr="00192F19" w:rsidRDefault="00353F35" w:rsidP="001408F6">
            <w:pPr>
              <w:contextualSpacing/>
              <w:rPr>
                <w:sz w:val="24"/>
                <w:szCs w:val="24"/>
              </w:rPr>
            </w:pPr>
            <w:r w:rsidRPr="00192F19">
              <w:rPr>
                <w:sz w:val="24"/>
                <w:szCs w:val="24"/>
              </w:rPr>
              <w:t>10</w:t>
            </w:r>
          </w:p>
        </w:tc>
        <w:tc>
          <w:tcPr>
            <w:tcW w:w="1365" w:type="dxa"/>
            <w:shd w:val="clear" w:color="auto" w:fill="auto"/>
            <w:tcMar>
              <w:top w:w="100" w:type="dxa"/>
              <w:left w:w="100" w:type="dxa"/>
              <w:bottom w:w="100" w:type="dxa"/>
              <w:right w:w="100" w:type="dxa"/>
            </w:tcMar>
          </w:tcPr>
          <w:p w14:paraId="78950DB8" w14:textId="77777777" w:rsidR="005578E5" w:rsidRPr="00192F19" w:rsidRDefault="00192F19" w:rsidP="001408F6">
            <w:pPr>
              <w:contextualSpacing/>
              <w:rPr>
                <w:sz w:val="24"/>
                <w:szCs w:val="24"/>
              </w:rPr>
            </w:pPr>
            <w:r w:rsidRPr="00192F19">
              <w:rPr>
                <w:sz w:val="24"/>
                <w:szCs w:val="24"/>
              </w:rPr>
              <w:t>6</w:t>
            </w:r>
            <w:r w:rsidR="004E254E" w:rsidRPr="00192F19">
              <w:rPr>
                <w:sz w:val="24"/>
                <w:szCs w:val="24"/>
              </w:rPr>
              <w:t>%</w:t>
            </w:r>
          </w:p>
        </w:tc>
        <w:tc>
          <w:tcPr>
            <w:tcW w:w="1710" w:type="dxa"/>
            <w:shd w:val="clear" w:color="auto" w:fill="auto"/>
            <w:tcMar>
              <w:top w:w="100" w:type="dxa"/>
              <w:left w:w="100" w:type="dxa"/>
              <w:bottom w:w="100" w:type="dxa"/>
              <w:right w:w="100" w:type="dxa"/>
            </w:tcMar>
          </w:tcPr>
          <w:p w14:paraId="093C3366" w14:textId="77777777" w:rsidR="005578E5" w:rsidRPr="00192F19" w:rsidRDefault="00353F35" w:rsidP="001408F6">
            <w:pPr>
              <w:contextualSpacing/>
              <w:rPr>
                <w:sz w:val="24"/>
                <w:szCs w:val="24"/>
              </w:rPr>
            </w:pPr>
            <w:r w:rsidRPr="00192F19">
              <w:rPr>
                <w:sz w:val="24"/>
                <w:szCs w:val="24"/>
              </w:rPr>
              <w:t>60</w:t>
            </w:r>
          </w:p>
        </w:tc>
      </w:tr>
      <w:tr w:rsidR="00353F35" w14:paraId="285E6326" w14:textId="77777777">
        <w:tc>
          <w:tcPr>
            <w:tcW w:w="1695" w:type="dxa"/>
            <w:shd w:val="clear" w:color="auto" w:fill="auto"/>
            <w:tcMar>
              <w:top w:w="100" w:type="dxa"/>
              <w:left w:w="100" w:type="dxa"/>
              <w:bottom w:w="100" w:type="dxa"/>
              <w:right w:w="100" w:type="dxa"/>
            </w:tcMar>
          </w:tcPr>
          <w:p w14:paraId="5ACCC802" w14:textId="77777777" w:rsidR="00353F35" w:rsidRPr="00192F19" w:rsidRDefault="00353F35" w:rsidP="001408F6">
            <w:pPr>
              <w:contextualSpacing/>
              <w:rPr>
                <w:b/>
                <w:sz w:val="24"/>
                <w:szCs w:val="24"/>
              </w:rPr>
            </w:pPr>
            <w:r w:rsidRPr="00192F19">
              <w:rPr>
                <w:b/>
                <w:sz w:val="24"/>
                <w:szCs w:val="24"/>
              </w:rPr>
              <w:t>Journal Club Presentation</w:t>
            </w:r>
          </w:p>
        </w:tc>
        <w:tc>
          <w:tcPr>
            <w:tcW w:w="1680" w:type="dxa"/>
            <w:shd w:val="clear" w:color="auto" w:fill="auto"/>
            <w:tcMar>
              <w:top w:w="100" w:type="dxa"/>
              <w:left w:w="100" w:type="dxa"/>
              <w:bottom w:w="100" w:type="dxa"/>
              <w:right w:w="100" w:type="dxa"/>
            </w:tcMar>
          </w:tcPr>
          <w:p w14:paraId="7D21D8E7" w14:textId="77777777" w:rsidR="00353F35" w:rsidRPr="00192F19" w:rsidRDefault="00353F35" w:rsidP="001408F6">
            <w:pPr>
              <w:contextualSpacing/>
              <w:rPr>
                <w:sz w:val="24"/>
                <w:szCs w:val="24"/>
              </w:rPr>
            </w:pPr>
            <w:r w:rsidRPr="00192F19">
              <w:rPr>
                <w:sz w:val="24"/>
                <w:szCs w:val="24"/>
              </w:rPr>
              <w:t>1</w:t>
            </w:r>
          </w:p>
        </w:tc>
        <w:tc>
          <w:tcPr>
            <w:tcW w:w="2580" w:type="dxa"/>
            <w:shd w:val="clear" w:color="auto" w:fill="auto"/>
            <w:tcMar>
              <w:top w:w="100" w:type="dxa"/>
              <w:left w:w="100" w:type="dxa"/>
              <w:bottom w:w="100" w:type="dxa"/>
              <w:right w:w="100" w:type="dxa"/>
            </w:tcMar>
          </w:tcPr>
          <w:p w14:paraId="168B1081" w14:textId="77777777" w:rsidR="00353F35" w:rsidRPr="00192F19" w:rsidRDefault="00192F19" w:rsidP="001408F6">
            <w:pPr>
              <w:contextualSpacing/>
              <w:rPr>
                <w:sz w:val="24"/>
                <w:szCs w:val="24"/>
              </w:rPr>
            </w:pPr>
            <w:r w:rsidRPr="00192F19">
              <w:rPr>
                <w:sz w:val="24"/>
                <w:szCs w:val="24"/>
              </w:rPr>
              <w:t>30</w:t>
            </w:r>
          </w:p>
        </w:tc>
        <w:tc>
          <w:tcPr>
            <w:tcW w:w="1365" w:type="dxa"/>
            <w:shd w:val="clear" w:color="auto" w:fill="auto"/>
            <w:tcMar>
              <w:top w:w="100" w:type="dxa"/>
              <w:left w:w="100" w:type="dxa"/>
              <w:bottom w:w="100" w:type="dxa"/>
              <w:right w:w="100" w:type="dxa"/>
            </w:tcMar>
          </w:tcPr>
          <w:p w14:paraId="7004DEA1" w14:textId="77777777" w:rsidR="00353F35" w:rsidRPr="00192F19" w:rsidRDefault="00192F19" w:rsidP="001408F6">
            <w:pPr>
              <w:contextualSpacing/>
              <w:rPr>
                <w:sz w:val="24"/>
                <w:szCs w:val="24"/>
              </w:rPr>
            </w:pPr>
            <w:r>
              <w:rPr>
                <w:sz w:val="24"/>
                <w:szCs w:val="24"/>
              </w:rPr>
              <w:t>3</w:t>
            </w:r>
            <w:r w:rsidR="00353F35" w:rsidRPr="00192F19">
              <w:rPr>
                <w:sz w:val="24"/>
                <w:szCs w:val="24"/>
              </w:rPr>
              <w:t>%</w:t>
            </w:r>
          </w:p>
        </w:tc>
        <w:tc>
          <w:tcPr>
            <w:tcW w:w="1710" w:type="dxa"/>
            <w:shd w:val="clear" w:color="auto" w:fill="auto"/>
            <w:tcMar>
              <w:top w:w="100" w:type="dxa"/>
              <w:left w:w="100" w:type="dxa"/>
              <w:bottom w:w="100" w:type="dxa"/>
              <w:right w:w="100" w:type="dxa"/>
            </w:tcMar>
          </w:tcPr>
          <w:p w14:paraId="05DDC86B" w14:textId="77777777" w:rsidR="00353F35" w:rsidRPr="00192F19" w:rsidRDefault="00192F19" w:rsidP="001408F6">
            <w:pPr>
              <w:contextualSpacing/>
              <w:rPr>
                <w:sz w:val="24"/>
                <w:szCs w:val="24"/>
              </w:rPr>
            </w:pPr>
            <w:r w:rsidRPr="00192F19">
              <w:rPr>
                <w:sz w:val="24"/>
                <w:szCs w:val="24"/>
              </w:rPr>
              <w:t>30</w:t>
            </w:r>
          </w:p>
        </w:tc>
      </w:tr>
      <w:tr w:rsidR="005578E5" w14:paraId="2B842278" w14:textId="77777777">
        <w:tc>
          <w:tcPr>
            <w:tcW w:w="1695" w:type="dxa"/>
            <w:shd w:val="clear" w:color="auto" w:fill="auto"/>
            <w:tcMar>
              <w:top w:w="100" w:type="dxa"/>
              <w:left w:w="100" w:type="dxa"/>
              <w:bottom w:w="100" w:type="dxa"/>
              <w:right w:w="100" w:type="dxa"/>
            </w:tcMar>
          </w:tcPr>
          <w:p w14:paraId="480E7E13" w14:textId="364E2964" w:rsidR="005578E5" w:rsidRPr="00192F19" w:rsidRDefault="004E254E" w:rsidP="001408F6">
            <w:pPr>
              <w:contextualSpacing/>
              <w:rPr>
                <w:b/>
                <w:sz w:val="24"/>
                <w:szCs w:val="24"/>
              </w:rPr>
            </w:pPr>
            <w:r w:rsidRPr="00192F19">
              <w:rPr>
                <w:b/>
                <w:sz w:val="24"/>
                <w:szCs w:val="24"/>
              </w:rPr>
              <w:t>Journal Club</w:t>
            </w:r>
            <w:r w:rsidR="00353F35" w:rsidRPr="00192F19">
              <w:rPr>
                <w:b/>
                <w:sz w:val="24"/>
                <w:szCs w:val="24"/>
              </w:rPr>
              <w:t xml:space="preserve"> Written Summaries</w:t>
            </w:r>
            <w:r w:rsidR="00735155">
              <w:rPr>
                <w:b/>
                <w:sz w:val="24"/>
                <w:szCs w:val="24"/>
              </w:rPr>
              <w:t xml:space="preserve"> (graduate) or Highlights (undergrad)</w:t>
            </w:r>
          </w:p>
        </w:tc>
        <w:tc>
          <w:tcPr>
            <w:tcW w:w="1680" w:type="dxa"/>
            <w:shd w:val="clear" w:color="auto" w:fill="auto"/>
            <w:tcMar>
              <w:top w:w="100" w:type="dxa"/>
              <w:left w:w="100" w:type="dxa"/>
              <w:bottom w:w="100" w:type="dxa"/>
              <w:right w:w="100" w:type="dxa"/>
            </w:tcMar>
          </w:tcPr>
          <w:p w14:paraId="6F076D80" w14:textId="77777777" w:rsidR="005578E5" w:rsidRPr="00192F19" w:rsidRDefault="004E254E" w:rsidP="001408F6">
            <w:pPr>
              <w:contextualSpacing/>
              <w:rPr>
                <w:sz w:val="24"/>
                <w:szCs w:val="24"/>
              </w:rPr>
            </w:pPr>
            <w:r w:rsidRPr="00192F19">
              <w:rPr>
                <w:sz w:val="24"/>
                <w:szCs w:val="24"/>
              </w:rPr>
              <w:t>6</w:t>
            </w:r>
          </w:p>
        </w:tc>
        <w:tc>
          <w:tcPr>
            <w:tcW w:w="2580" w:type="dxa"/>
            <w:shd w:val="clear" w:color="auto" w:fill="auto"/>
            <w:tcMar>
              <w:top w:w="100" w:type="dxa"/>
              <w:left w:w="100" w:type="dxa"/>
              <w:bottom w:w="100" w:type="dxa"/>
              <w:right w:w="100" w:type="dxa"/>
            </w:tcMar>
          </w:tcPr>
          <w:p w14:paraId="0B00B619" w14:textId="77777777" w:rsidR="005578E5" w:rsidRPr="00192F19" w:rsidRDefault="00353F35" w:rsidP="001408F6">
            <w:pPr>
              <w:contextualSpacing/>
              <w:rPr>
                <w:sz w:val="24"/>
                <w:szCs w:val="24"/>
              </w:rPr>
            </w:pPr>
            <w:r w:rsidRPr="00192F19">
              <w:rPr>
                <w:sz w:val="24"/>
                <w:szCs w:val="24"/>
              </w:rPr>
              <w:t>20</w:t>
            </w:r>
          </w:p>
        </w:tc>
        <w:tc>
          <w:tcPr>
            <w:tcW w:w="1365" w:type="dxa"/>
            <w:shd w:val="clear" w:color="auto" w:fill="auto"/>
            <w:tcMar>
              <w:top w:w="100" w:type="dxa"/>
              <w:left w:w="100" w:type="dxa"/>
              <w:bottom w:w="100" w:type="dxa"/>
              <w:right w:w="100" w:type="dxa"/>
            </w:tcMar>
          </w:tcPr>
          <w:p w14:paraId="35569474" w14:textId="77777777" w:rsidR="005578E5" w:rsidRPr="00192F19" w:rsidRDefault="00192F19" w:rsidP="001408F6">
            <w:pPr>
              <w:contextualSpacing/>
              <w:rPr>
                <w:sz w:val="24"/>
                <w:szCs w:val="24"/>
              </w:rPr>
            </w:pPr>
            <w:r>
              <w:rPr>
                <w:sz w:val="24"/>
                <w:szCs w:val="24"/>
              </w:rPr>
              <w:t>12</w:t>
            </w:r>
            <w:r w:rsidR="004E254E" w:rsidRPr="00192F19">
              <w:rPr>
                <w:sz w:val="24"/>
                <w:szCs w:val="24"/>
              </w:rPr>
              <w:t>%</w:t>
            </w:r>
          </w:p>
        </w:tc>
        <w:tc>
          <w:tcPr>
            <w:tcW w:w="1710" w:type="dxa"/>
            <w:shd w:val="clear" w:color="auto" w:fill="auto"/>
            <w:tcMar>
              <w:top w:w="100" w:type="dxa"/>
              <w:left w:w="100" w:type="dxa"/>
              <w:bottom w:w="100" w:type="dxa"/>
              <w:right w:w="100" w:type="dxa"/>
            </w:tcMar>
          </w:tcPr>
          <w:p w14:paraId="558A08E5" w14:textId="77777777" w:rsidR="005578E5" w:rsidRPr="00192F19" w:rsidRDefault="00353F35" w:rsidP="001408F6">
            <w:pPr>
              <w:contextualSpacing/>
              <w:rPr>
                <w:sz w:val="24"/>
                <w:szCs w:val="24"/>
              </w:rPr>
            </w:pPr>
            <w:r w:rsidRPr="00192F19">
              <w:rPr>
                <w:sz w:val="24"/>
                <w:szCs w:val="24"/>
              </w:rPr>
              <w:t>120</w:t>
            </w:r>
          </w:p>
        </w:tc>
      </w:tr>
      <w:tr w:rsidR="005578E5" w14:paraId="090A03D9" w14:textId="77777777">
        <w:tc>
          <w:tcPr>
            <w:tcW w:w="1695" w:type="dxa"/>
            <w:shd w:val="clear" w:color="auto" w:fill="auto"/>
            <w:tcMar>
              <w:top w:w="100" w:type="dxa"/>
              <w:left w:w="100" w:type="dxa"/>
              <w:bottom w:w="100" w:type="dxa"/>
              <w:right w:w="100" w:type="dxa"/>
            </w:tcMar>
          </w:tcPr>
          <w:p w14:paraId="072B10F1" w14:textId="77777777" w:rsidR="005578E5" w:rsidRPr="00192F19" w:rsidRDefault="004E254E" w:rsidP="001408F6">
            <w:pPr>
              <w:contextualSpacing/>
              <w:rPr>
                <w:b/>
                <w:sz w:val="24"/>
                <w:szCs w:val="24"/>
              </w:rPr>
            </w:pPr>
            <w:r w:rsidRPr="00192F19">
              <w:rPr>
                <w:b/>
                <w:sz w:val="24"/>
                <w:szCs w:val="24"/>
              </w:rPr>
              <w:t>Exams</w:t>
            </w:r>
          </w:p>
        </w:tc>
        <w:tc>
          <w:tcPr>
            <w:tcW w:w="1680" w:type="dxa"/>
            <w:shd w:val="clear" w:color="auto" w:fill="auto"/>
            <w:tcMar>
              <w:top w:w="100" w:type="dxa"/>
              <w:left w:w="100" w:type="dxa"/>
              <w:bottom w:w="100" w:type="dxa"/>
              <w:right w:w="100" w:type="dxa"/>
            </w:tcMar>
          </w:tcPr>
          <w:p w14:paraId="1A359BA2" w14:textId="77777777" w:rsidR="005578E5" w:rsidRDefault="004E254E" w:rsidP="001408F6">
            <w:pPr>
              <w:contextualSpacing/>
              <w:rPr>
                <w:sz w:val="24"/>
                <w:szCs w:val="24"/>
              </w:rPr>
            </w:pPr>
            <w:r>
              <w:rPr>
                <w:sz w:val="24"/>
                <w:szCs w:val="24"/>
              </w:rPr>
              <w:t>2</w:t>
            </w:r>
          </w:p>
        </w:tc>
        <w:tc>
          <w:tcPr>
            <w:tcW w:w="2580" w:type="dxa"/>
            <w:shd w:val="clear" w:color="auto" w:fill="auto"/>
            <w:tcMar>
              <w:top w:w="100" w:type="dxa"/>
              <w:left w:w="100" w:type="dxa"/>
              <w:bottom w:w="100" w:type="dxa"/>
              <w:right w:w="100" w:type="dxa"/>
            </w:tcMar>
          </w:tcPr>
          <w:p w14:paraId="15A06487" w14:textId="77777777" w:rsidR="005578E5" w:rsidRDefault="004E254E" w:rsidP="001408F6">
            <w:pPr>
              <w:contextualSpacing/>
              <w:rPr>
                <w:sz w:val="24"/>
                <w:szCs w:val="24"/>
              </w:rPr>
            </w:pPr>
            <w:r>
              <w:rPr>
                <w:sz w:val="24"/>
                <w:szCs w:val="24"/>
              </w:rPr>
              <w:t>125</w:t>
            </w:r>
          </w:p>
        </w:tc>
        <w:tc>
          <w:tcPr>
            <w:tcW w:w="1365" w:type="dxa"/>
            <w:shd w:val="clear" w:color="auto" w:fill="auto"/>
            <w:tcMar>
              <w:top w:w="100" w:type="dxa"/>
              <w:left w:w="100" w:type="dxa"/>
              <w:bottom w:w="100" w:type="dxa"/>
              <w:right w:w="100" w:type="dxa"/>
            </w:tcMar>
          </w:tcPr>
          <w:p w14:paraId="453D5E3E" w14:textId="77777777" w:rsidR="005578E5" w:rsidRDefault="004E254E" w:rsidP="001408F6">
            <w:pPr>
              <w:contextualSpacing/>
              <w:rPr>
                <w:sz w:val="24"/>
                <w:szCs w:val="24"/>
              </w:rPr>
            </w:pPr>
            <w:r>
              <w:rPr>
                <w:sz w:val="24"/>
                <w:szCs w:val="24"/>
              </w:rPr>
              <w:t>25%</w:t>
            </w:r>
          </w:p>
        </w:tc>
        <w:tc>
          <w:tcPr>
            <w:tcW w:w="1710" w:type="dxa"/>
            <w:shd w:val="clear" w:color="auto" w:fill="auto"/>
            <w:tcMar>
              <w:top w:w="100" w:type="dxa"/>
              <w:left w:w="100" w:type="dxa"/>
              <w:bottom w:w="100" w:type="dxa"/>
              <w:right w:w="100" w:type="dxa"/>
            </w:tcMar>
          </w:tcPr>
          <w:p w14:paraId="5E554A23" w14:textId="77777777" w:rsidR="005578E5" w:rsidRDefault="004E254E" w:rsidP="001408F6">
            <w:pPr>
              <w:contextualSpacing/>
              <w:rPr>
                <w:sz w:val="24"/>
                <w:szCs w:val="24"/>
              </w:rPr>
            </w:pPr>
            <w:r>
              <w:rPr>
                <w:sz w:val="24"/>
                <w:szCs w:val="24"/>
              </w:rPr>
              <w:t>250</w:t>
            </w:r>
          </w:p>
        </w:tc>
      </w:tr>
      <w:tr w:rsidR="005578E5" w14:paraId="1B32F345" w14:textId="77777777">
        <w:tc>
          <w:tcPr>
            <w:tcW w:w="1695" w:type="dxa"/>
            <w:shd w:val="clear" w:color="auto" w:fill="auto"/>
            <w:tcMar>
              <w:top w:w="100" w:type="dxa"/>
              <w:left w:w="100" w:type="dxa"/>
              <w:bottom w:w="100" w:type="dxa"/>
              <w:right w:w="100" w:type="dxa"/>
            </w:tcMar>
          </w:tcPr>
          <w:p w14:paraId="60425B38" w14:textId="77777777" w:rsidR="005578E5" w:rsidRDefault="004E254E" w:rsidP="001408F6">
            <w:pPr>
              <w:contextualSpacing/>
              <w:rPr>
                <w:b/>
                <w:sz w:val="24"/>
                <w:szCs w:val="24"/>
              </w:rPr>
            </w:pPr>
            <w:r>
              <w:rPr>
                <w:b/>
                <w:sz w:val="24"/>
                <w:szCs w:val="24"/>
              </w:rPr>
              <w:t>Total</w:t>
            </w:r>
          </w:p>
        </w:tc>
        <w:tc>
          <w:tcPr>
            <w:tcW w:w="1680" w:type="dxa"/>
            <w:shd w:val="clear" w:color="auto" w:fill="auto"/>
            <w:tcMar>
              <w:top w:w="100" w:type="dxa"/>
              <w:left w:w="100" w:type="dxa"/>
              <w:bottom w:w="100" w:type="dxa"/>
              <w:right w:w="100" w:type="dxa"/>
            </w:tcMar>
          </w:tcPr>
          <w:p w14:paraId="6CB266CE" w14:textId="77777777" w:rsidR="005578E5" w:rsidRDefault="005578E5" w:rsidP="001408F6">
            <w:pPr>
              <w:contextualSpacing/>
              <w:rPr>
                <w:sz w:val="24"/>
                <w:szCs w:val="24"/>
              </w:rPr>
            </w:pPr>
          </w:p>
        </w:tc>
        <w:tc>
          <w:tcPr>
            <w:tcW w:w="2580" w:type="dxa"/>
            <w:shd w:val="clear" w:color="auto" w:fill="auto"/>
            <w:tcMar>
              <w:top w:w="100" w:type="dxa"/>
              <w:left w:w="100" w:type="dxa"/>
              <w:bottom w:w="100" w:type="dxa"/>
              <w:right w:w="100" w:type="dxa"/>
            </w:tcMar>
          </w:tcPr>
          <w:p w14:paraId="131EE985" w14:textId="77777777" w:rsidR="005578E5" w:rsidRDefault="005578E5" w:rsidP="001408F6">
            <w:pPr>
              <w:contextualSpacing/>
              <w:rPr>
                <w:sz w:val="24"/>
                <w:szCs w:val="24"/>
              </w:rPr>
            </w:pPr>
          </w:p>
        </w:tc>
        <w:tc>
          <w:tcPr>
            <w:tcW w:w="1365" w:type="dxa"/>
            <w:shd w:val="clear" w:color="auto" w:fill="auto"/>
            <w:tcMar>
              <w:top w:w="100" w:type="dxa"/>
              <w:left w:w="100" w:type="dxa"/>
              <w:bottom w:w="100" w:type="dxa"/>
              <w:right w:w="100" w:type="dxa"/>
            </w:tcMar>
          </w:tcPr>
          <w:p w14:paraId="23F15063" w14:textId="77777777" w:rsidR="005578E5" w:rsidRDefault="005578E5" w:rsidP="001408F6">
            <w:pPr>
              <w:contextualSpacing/>
              <w:rPr>
                <w:sz w:val="24"/>
                <w:szCs w:val="24"/>
              </w:rPr>
            </w:pPr>
          </w:p>
        </w:tc>
        <w:tc>
          <w:tcPr>
            <w:tcW w:w="1710" w:type="dxa"/>
            <w:shd w:val="clear" w:color="auto" w:fill="auto"/>
            <w:tcMar>
              <w:top w:w="100" w:type="dxa"/>
              <w:left w:w="100" w:type="dxa"/>
              <w:bottom w:w="100" w:type="dxa"/>
              <w:right w:w="100" w:type="dxa"/>
            </w:tcMar>
          </w:tcPr>
          <w:p w14:paraId="7BA59ADC" w14:textId="77777777" w:rsidR="005578E5" w:rsidRDefault="004E254E" w:rsidP="001408F6">
            <w:pPr>
              <w:contextualSpacing/>
              <w:rPr>
                <w:b/>
                <w:sz w:val="24"/>
                <w:szCs w:val="24"/>
              </w:rPr>
            </w:pPr>
            <w:r>
              <w:rPr>
                <w:b/>
                <w:sz w:val="24"/>
                <w:szCs w:val="24"/>
              </w:rPr>
              <w:t>1000</w:t>
            </w:r>
          </w:p>
        </w:tc>
      </w:tr>
    </w:tbl>
    <w:p w14:paraId="0CAB4F99" w14:textId="77777777" w:rsidR="005578E5" w:rsidRDefault="005578E5" w:rsidP="001408F6">
      <w:pPr>
        <w:spacing w:after="120"/>
        <w:contextualSpacing/>
        <w:rPr>
          <w:sz w:val="24"/>
          <w:szCs w:val="24"/>
        </w:rPr>
      </w:pPr>
    </w:p>
    <w:p w14:paraId="23195688" w14:textId="77777777" w:rsidR="005578E5" w:rsidRDefault="004E254E" w:rsidP="001408F6">
      <w:pPr>
        <w:spacing w:after="120"/>
        <w:contextualSpacing/>
        <w:rPr>
          <w:sz w:val="24"/>
          <w:szCs w:val="24"/>
        </w:rPr>
      </w:pPr>
      <w:r>
        <w:rPr>
          <w:sz w:val="24"/>
          <w:szCs w:val="24"/>
        </w:rPr>
        <w:t xml:space="preserve"> </w:t>
      </w:r>
      <w:r>
        <w:rPr>
          <w:b/>
          <w:sz w:val="24"/>
          <w:szCs w:val="24"/>
        </w:rPr>
        <w:t>Grading Scale</w:t>
      </w:r>
      <w:r>
        <w:rPr>
          <w:sz w:val="24"/>
          <w:szCs w:val="24"/>
        </w:rPr>
        <w:t>:</w:t>
      </w:r>
    </w:p>
    <w:tbl>
      <w:tblPr>
        <w:tblStyle w:val="a0"/>
        <w:tblW w:w="7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440"/>
        <w:gridCol w:w="1125"/>
        <w:gridCol w:w="1245"/>
        <w:gridCol w:w="1245"/>
        <w:gridCol w:w="1635"/>
      </w:tblGrid>
      <w:tr w:rsidR="005578E5" w14:paraId="2779FE1A" w14:textId="77777777">
        <w:tc>
          <w:tcPr>
            <w:tcW w:w="1110" w:type="dxa"/>
            <w:shd w:val="clear" w:color="auto" w:fill="auto"/>
            <w:tcMar>
              <w:top w:w="100" w:type="dxa"/>
              <w:left w:w="100" w:type="dxa"/>
              <w:bottom w:w="100" w:type="dxa"/>
              <w:right w:w="100" w:type="dxa"/>
            </w:tcMar>
          </w:tcPr>
          <w:p w14:paraId="1E1970DB" w14:textId="77777777" w:rsidR="005578E5" w:rsidRDefault="004E254E" w:rsidP="001408F6">
            <w:pPr>
              <w:contextualSpacing/>
              <w:rPr>
                <w:b/>
                <w:sz w:val="24"/>
                <w:szCs w:val="24"/>
              </w:rPr>
            </w:pPr>
            <w:r>
              <w:rPr>
                <w:b/>
                <w:sz w:val="24"/>
                <w:szCs w:val="24"/>
              </w:rPr>
              <w:t>Grade</w:t>
            </w:r>
          </w:p>
        </w:tc>
        <w:tc>
          <w:tcPr>
            <w:tcW w:w="1440" w:type="dxa"/>
            <w:shd w:val="clear" w:color="auto" w:fill="auto"/>
            <w:tcMar>
              <w:top w:w="100" w:type="dxa"/>
              <w:left w:w="100" w:type="dxa"/>
              <w:bottom w:w="100" w:type="dxa"/>
              <w:right w:w="100" w:type="dxa"/>
            </w:tcMar>
          </w:tcPr>
          <w:p w14:paraId="510B460B" w14:textId="77777777" w:rsidR="005578E5" w:rsidRDefault="004E254E" w:rsidP="001408F6">
            <w:pPr>
              <w:contextualSpacing/>
              <w:rPr>
                <w:b/>
                <w:sz w:val="24"/>
                <w:szCs w:val="24"/>
              </w:rPr>
            </w:pPr>
            <w:r>
              <w:rPr>
                <w:b/>
                <w:sz w:val="24"/>
                <w:szCs w:val="24"/>
              </w:rPr>
              <w:t>A</w:t>
            </w:r>
          </w:p>
        </w:tc>
        <w:tc>
          <w:tcPr>
            <w:tcW w:w="1125" w:type="dxa"/>
            <w:shd w:val="clear" w:color="auto" w:fill="auto"/>
            <w:tcMar>
              <w:top w:w="100" w:type="dxa"/>
              <w:left w:w="100" w:type="dxa"/>
              <w:bottom w:w="100" w:type="dxa"/>
              <w:right w:w="100" w:type="dxa"/>
            </w:tcMar>
          </w:tcPr>
          <w:p w14:paraId="388AEE96" w14:textId="77777777" w:rsidR="005578E5" w:rsidRDefault="004E254E" w:rsidP="001408F6">
            <w:pPr>
              <w:contextualSpacing/>
              <w:rPr>
                <w:b/>
                <w:sz w:val="24"/>
                <w:szCs w:val="24"/>
              </w:rPr>
            </w:pPr>
            <w:r>
              <w:rPr>
                <w:b/>
                <w:sz w:val="24"/>
                <w:szCs w:val="24"/>
              </w:rPr>
              <w:t>B</w:t>
            </w:r>
          </w:p>
        </w:tc>
        <w:tc>
          <w:tcPr>
            <w:tcW w:w="1245" w:type="dxa"/>
            <w:shd w:val="clear" w:color="auto" w:fill="auto"/>
            <w:tcMar>
              <w:top w:w="100" w:type="dxa"/>
              <w:left w:w="100" w:type="dxa"/>
              <w:bottom w:w="100" w:type="dxa"/>
              <w:right w:w="100" w:type="dxa"/>
            </w:tcMar>
          </w:tcPr>
          <w:p w14:paraId="44EFBB1F" w14:textId="77777777" w:rsidR="005578E5" w:rsidRDefault="004E254E" w:rsidP="001408F6">
            <w:pPr>
              <w:contextualSpacing/>
              <w:rPr>
                <w:b/>
                <w:sz w:val="24"/>
                <w:szCs w:val="24"/>
              </w:rPr>
            </w:pPr>
            <w:r>
              <w:rPr>
                <w:b/>
                <w:sz w:val="24"/>
                <w:szCs w:val="24"/>
              </w:rPr>
              <w:t>C</w:t>
            </w:r>
          </w:p>
        </w:tc>
        <w:tc>
          <w:tcPr>
            <w:tcW w:w="1245" w:type="dxa"/>
            <w:shd w:val="clear" w:color="auto" w:fill="auto"/>
            <w:tcMar>
              <w:top w:w="100" w:type="dxa"/>
              <w:left w:w="100" w:type="dxa"/>
              <w:bottom w:w="100" w:type="dxa"/>
              <w:right w:w="100" w:type="dxa"/>
            </w:tcMar>
          </w:tcPr>
          <w:p w14:paraId="3BEA6ACE" w14:textId="77777777" w:rsidR="005578E5" w:rsidRDefault="004E254E" w:rsidP="001408F6">
            <w:pPr>
              <w:contextualSpacing/>
              <w:rPr>
                <w:b/>
                <w:sz w:val="24"/>
                <w:szCs w:val="24"/>
              </w:rPr>
            </w:pPr>
            <w:r>
              <w:rPr>
                <w:b/>
                <w:sz w:val="24"/>
                <w:szCs w:val="24"/>
              </w:rPr>
              <w:t>D</w:t>
            </w:r>
          </w:p>
        </w:tc>
        <w:tc>
          <w:tcPr>
            <w:tcW w:w="1635" w:type="dxa"/>
            <w:shd w:val="clear" w:color="auto" w:fill="auto"/>
            <w:tcMar>
              <w:top w:w="100" w:type="dxa"/>
              <w:left w:w="100" w:type="dxa"/>
              <w:bottom w:w="100" w:type="dxa"/>
              <w:right w:w="100" w:type="dxa"/>
            </w:tcMar>
          </w:tcPr>
          <w:p w14:paraId="2B1032CF" w14:textId="77777777" w:rsidR="005578E5" w:rsidRDefault="004E254E" w:rsidP="001408F6">
            <w:pPr>
              <w:contextualSpacing/>
              <w:rPr>
                <w:b/>
                <w:sz w:val="24"/>
                <w:szCs w:val="24"/>
              </w:rPr>
            </w:pPr>
            <w:r>
              <w:rPr>
                <w:b/>
                <w:sz w:val="24"/>
                <w:szCs w:val="24"/>
              </w:rPr>
              <w:t>F</w:t>
            </w:r>
          </w:p>
        </w:tc>
      </w:tr>
      <w:tr w:rsidR="005578E5" w14:paraId="04AB6CE7" w14:textId="77777777">
        <w:tc>
          <w:tcPr>
            <w:tcW w:w="1110" w:type="dxa"/>
            <w:shd w:val="clear" w:color="auto" w:fill="auto"/>
            <w:tcMar>
              <w:top w:w="100" w:type="dxa"/>
              <w:left w:w="100" w:type="dxa"/>
              <w:bottom w:w="100" w:type="dxa"/>
              <w:right w:w="100" w:type="dxa"/>
            </w:tcMar>
          </w:tcPr>
          <w:p w14:paraId="0E15E931" w14:textId="77777777" w:rsidR="005578E5" w:rsidRDefault="004E254E" w:rsidP="001408F6">
            <w:pPr>
              <w:contextualSpacing/>
              <w:rPr>
                <w:sz w:val="24"/>
                <w:szCs w:val="24"/>
              </w:rPr>
            </w:pPr>
            <w:r>
              <w:rPr>
                <w:sz w:val="24"/>
                <w:szCs w:val="24"/>
              </w:rPr>
              <w:t>Points</w:t>
            </w:r>
          </w:p>
        </w:tc>
        <w:tc>
          <w:tcPr>
            <w:tcW w:w="1440" w:type="dxa"/>
            <w:shd w:val="clear" w:color="auto" w:fill="auto"/>
            <w:tcMar>
              <w:top w:w="100" w:type="dxa"/>
              <w:left w:w="100" w:type="dxa"/>
              <w:bottom w:w="100" w:type="dxa"/>
              <w:right w:w="100" w:type="dxa"/>
            </w:tcMar>
          </w:tcPr>
          <w:p w14:paraId="799FA3AF" w14:textId="77777777" w:rsidR="005578E5" w:rsidRDefault="004E254E" w:rsidP="001408F6">
            <w:pPr>
              <w:contextualSpacing/>
              <w:rPr>
                <w:sz w:val="24"/>
                <w:szCs w:val="24"/>
              </w:rPr>
            </w:pPr>
            <w:r>
              <w:rPr>
                <w:sz w:val="24"/>
                <w:szCs w:val="24"/>
              </w:rPr>
              <w:t>900 or more</w:t>
            </w:r>
          </w:p>
        </w:tc>
        <w:tc>
          <w:tcPr>
            <w:tcW w:w="1125" w:type="dxa"/>
            <w:shd w:val="clear" w:color="auto" w:fill="auto"/>
            <w:tcMar>
              <w:top w:w="100" w:type="dxa"/>
              <w:left w:w="100" w:type="dxa"/>
              <w:bottom w:w="100" w:type="dxa"/>
              <w:right w:w="100" w:type="dxa"/>
            </w:tcMar>
          </w:tcPr>
          <w:p w14:paraId="7C577B30" w14:textId="77777777" w:rsidR="005578E5" w:rsidRDefault="004E254E" w:rsidP="001408F6">
            <w:pPr>
              <w:contextualSpacing/>
              <w:rPr>
                <w:sz w:val="24"/>
                <w:szCs w:val="24"/>
              </w:rPr>
            </w:pPr>
            <w:r>
              <w:rPr>
                <w:sz w:val="24"/>
                <w:szCs w:val="24"/>
              </w:rPr>
              <w:t>800-899</w:t>
            </w:r>
          </w:p>
        </w:tc>
        <w:tc>
          <w:tcPr>
            <w:tcW w:w="1245" w:type="dxa"/>
            <w:shd w:val="clear" w:color="auto" w:fill="auto"/>
            <w:tcMar>
              <w:top w:w="100" w:type="dxa"/>
              <w:left w:w="100" w:type="dxa"/>
              <w:bottom w:w="100" w:type="dxa"/>
              <w:right w:w="100" w:type="dxa"/>
            </w:tcMar>
          </w:tcPr>
          <w:p w14:paraId="431DE223" w14:textId="77777777" w:rsidR="005578E5" w:rsidRDefault="004E254E" w:rsidP="001408F6">
            <w:pPr>
              <w:contextualSpacing/>
              <w:rPr>
                <w:sz w:val="24"/>
                <w:szCs w:val="24"/>
              </w:rPr>
            </w:pPr>
            <w:r>
              <w:rPr>
                <w:sz w:val="24"/>
                <w:szCs w:val="24"/>
              </w:rPr>
              <w:t>700-799</w:t>
            </w:r>
          </w:p>
        </w:tc>
        <w:tc>
          <w:tcPr>
            <w:tcW w:w="1245" w:type="dxa"/>
            <w:shd w:val="clear" w:color="auto" w:fill="auto"/>
            <w:tcMar>
              <w:top w:w="100" w:type="dxa"/>
              <w:left w:w="100" w:type="dxa"/>
              <w:bottom w:w="100" w:type="dxa"/>
              <w:right w:w="100" w:type="dxa"/>
            </w:tcMar>
          </w:tcPr>
          <w:p w14:paraId="6C7942BC" w14:textId="77777777" w:rsidR="005578E5" w:rsidRDefault="004E254E" w:rsidP="001408F6">
            <w:pPr>
              <w:contextualSpacing/>
              <w:rPr>
                <w:sz w:val="24"/>
                <w:szCs w:val="24"/>
              </w:rPr>
            </w:pPr>
            <w:r>
              <w:rPr>
                <w:sz w:val="24"/>
                <w:szCs w:val="24"/>
              </w:rPr>
              <w:t>600-699</w:t>
            </w:r>
          </w:p>
        </w:tc>
        <w:tc>
          <w:tcPr>
            <w:tcW w:w="1635" w:type="dxa"/>
            <w:shd w:val="clear" w:color="auto" w:fill="auto"/>
            <w:tcMar>
              <w:top w:w="100" w:type="dxa"/>
              <w:left w:w="100" w:type="dxa"/>
              <w:bottom w:w="100" w:type="dxa"/>
              <w:right w:w="100" w:type="dxa"/>
            </w:tcMar>
          </w:tcPr>
          <w:p w14:paraId="03022754" w14:textId="77777777" w:rsidR="005578E5" w:rsidRDefault="004E254E" w:rsidP="001408F6">
            <w:pPr>
              <w:contextualSpacing/>
              <w:rPr>
                <w:sz w:val="24"/>
                <w:szCs w:val="24"/>
              </w:rPr>
            </w:pPr>
            <w:r>
              <w:rPr>
                <w:sz w:val="24"/>
                <w:szCs w:val="24"/>
              </w:rPr>
              <w:t>less than 600</w:t>
            </w:r>
          </w:p>
        </w:tc>
      </w:tr>
    </w:tbl>
    <w:p w14:paraId="3F7D93EA" w14:textId="77777777" w:rsidR="005578E5" w:rsidRDefault="005578E5" w:rsidP="001408F6">
      <w:pPr>
        <w:spacing w:after="120"/>
        <w:contextualSpacing/>
        <w:rPr>
          <w:sz w:val="24"/>
          <w:szCs w:val="24"/>
        </w:rPr>
      </w:pPr>
    </w:p>
    <w:p w14:paraId="4FA0591B" w14:textId="77777777" w:rsidR="005578E5" w:rsidRDefault="004E254E" w:rsidP="001408F6">
      <w:pPr>
        <w:spacing w:after="120"/>
        <w:ind w:left="72"/>
        <w:contextualSpacing/>
        <w:rPr>
          <w:sz w:val="24"/>
          <w:szCs w:val="24"/>
        </w:rPr>
      </w:pPr>
      <w:r>
        <w:rPr>
          <w:b/>
          <w:sz w:val="24"/>
          <w:szCs w:val="24"/>
        </w:rPr>
        <w:t>University policy</w:t>
      </w:r>
      <w:r>
        <w:rPr>
          <w:sz w:val="24"/>
          <w:szCs w:val="24"/>
        </w:rPr>
        <w:t xml:space="preserve"> regarding grades and grading systems is available at</w:t>
      </w:r>
      <w:hyperlink r:id="rId17">
        <w:r>
          <w:rPr>
            <w:sz w:val="24"/>
            <w:szCs w:val="24"/>
          </w:rPr>
          <w:t xml:space="preserve"> </w:t>
        </w:r>
      </w:hyperlink>
      <w:hyperlink r:id="rId18">
        <w:r>
          <w:rPr>
            <w:color w:val="1155CC"/>
            <w:sz w:val="24"/>
            <w:szCs w:val="24"/>
            <w:u w:val="single"/>
          </w:rPr>
          <w:t>http://catalog.arizona.edu/policy/grades-and-grading-system</w:t>
        </w:r>
      </w:hyperlink>
      <w:r>
        <w:rPr>
          <w:sz w:val="24"/>
          <w:szCs w:val="24"/>
        </w:rPr>
        <w:t>.</w:t>
      </w:r>
    </w:p>
    <w:p w14:paraId="55873AF2" w14:textId="77777777" w:rsidR="005578E5" w:rsidRDefault="005578E5" w:rsidP="001408F6">
      <w:pPr>
        <w:spacing w:after="120"/>
        <w:ind w:left="72"/>
        <w:contextualSpacing/>
        <w:rPr>
          <w:sz w:val="24"/>
          <w:szCs w:val="24"/>
        </w:rPr>
      </w:pPr>
    </w:p>
    <w:p w14:paraId="3FED4376" w14:textId="77777777" w:rsidR="00D37799" w:rsidRDefault="00DD754F" w:rsidP="00DD754F">
      <w:pPr>
        <w:spacing w:after="120"/>
        <w:contextualSpacing/>
        <w:rPr>
          <w:b/>
          <w:sz w:val="24"/>
          <w:szCs w:val="24"/>
        </w:rPr>
      </w:pPr>
      <w:r>
        <w:rPr>
          <w:b/>
          <w:sz w:val="24"/>
          <w:szCs w:val="24"/>
        </w:rPr>
        <w:t>Policy on Late Work</w:t>
      </w:r>
    </w:p>
    <w:p w14:paraId="0C41CEC7" w14:textId="77777777" w:rsidR="00D37799" w:rsidRPr="00D37799" w:rsidRDefault="00D37799" w:rsidP="00D37799">
      <w:pPr>
        <w:widowControl/>
        <w:rPr>
          <w:sz w:val="24"/>
          <w:szCs w:val="24"/>
        </w:rPr>
      </w:pPr>
      <w:r w:rsidRPr="00D37799">
        <w:rPr>
          <w:sz w:val="24"/>
          <w:szCs w:val="24"/>
        </w:rPr>
        <w:t xml:space="preserve">If you are unable to meet deadlines for assignments due to an emergency, please contact Dr. Hurwitz and Dr. </w:t>
      </w:r>
      <w:proofErr w:type="spellStart"/>
      <w:r w:rsidRPr="00D37799">
        <w:rPr>
          <w:sz w:val="24"/>
          <w:szCs w:val="24"/>
        </w:rPr>
        <w:t>U'Ren</w:t>
      </w:r>
      <w:proofErr w:type="spellEnd"/>
      <w:r w:rsidRPr="00D37799">
        <w:rPr>
          <w:sz w:val="24"/>
          <w:szCs w:val="24"/>
        </w:rPr>
        <w:t xml:space="preserve"> to arrange an alternative deadline. </w:t>
      </w:r>
    </w:p>
    <w:p w14:paraId="53A651A7" w14:textId="77777777" w:rsidR="00D37799" w:rsidRDefault="00D37799" w:rsidP="001408F6">
      <w:pPr>
        <w:spacing w:after="120"/>
        <w:ind w:left="72"/>
        <w:contextualSpacing/>
        <w:rPr>
          <w:b/>
          <w:sz w:val="24"/>
          <w:szCs w:val="24"/>
        </w:rPr>
      </w:pPr>
    </w:p>
    <w:p w14:paraId="2E9757B3" w14:textId="77777777" w:rsidR="005578E5" w:rsidRDefault="004E254E" w:rsidP="001408F6">
      <w:pPr>
        <w:spacing w:after="120"/>
        <w:ind w:left="72"/>
        <w:contextualSpacing/>
        <w:rPr>
          <w:sz w:val="24"/>
          <w:szCs w:val="24"/>
        </w:rPr>
      </w:pPr>
      <w:r>
        <w:rPr>
          <w:b/>
          <w:sz w:val="24"/>
          <w:szCs w:val="24"/>
        </w:rPr>
        <w:t>Requests for</w:t>
      </w:r>
      <w:r>
        <w:rPr>
          <w:sz w:val="24"/>
          <w:szCs w:val="24"/>
        </w:rPr>
        <w:t xml:space="preserve"> </w:t>
      </w:r>
      <w:r>
        <w:rPr>
          <w:b/>
          <w:sz w:val="24"/>
          <w:szCs w:val="24"/>
        </w:rPr>
        <w:t>incomplete (I) or withdrawal (W)</w:t>
      </w:r>
      <w:r>
        <w:rPr>
          <w:sz w:val="24"/>
          <w:szCs w:val="24"/>
        </w:rPr>
        <w:t xml:space="preserve"> must be made in accordance with University policies, which are available at </w:t>
      </w:r>
      <w:hyperlink r:id="rId19" w:anchor="incomplete">
        <w:r>
          <w:rPr>
            <w:color w:val="0000FF"/>
            <w:sz w:val="24"/>
            <w:szCs w:val="24"/>
            <w:u w:val="single"/>
          </w:rPr>
          <w:t>http://catalog.arizona.edu/policy/grades-and-grading-system#incomplete</w:t>
        </w:r>
      </w:hyperlink>
      <w:r>
        <w:rPr>
          <w:sz w:val="24"/>
          <w:szCs w:val="24"/>
        </w:rPr>
        <w:t xml:space="preserve"> and </w:t>
      </w:r>
      <w:hyperlink r:id="rId20" w:anchor="Withdrawal">
        <w:r>
          <w:rPr>
            <w:color w:val="0000FF"/>
            <w:sz w:val="24"/>
            <w:szCs w:val="24"/>
            <w:u w:val="single"/>
          </w:rPr>
          <w:t>http://catalog.arizona.edu/policy/grades-and-grading-system#Withdrawal</w:t>
        </w:r>
      </w:hyperlink>
      <w:r>
        <w:rPr>
          <w:sz w:val="24"/>
          <w:szCs w:val="24"/>
        </w:rPr>
        <w:t xml:space="preserve"> respectively.</w:t>
      </w:r>
    </w:p>
    <w:p w14:paraId="7F0C344E" w14:textId="77777777" w:rsidR="005578E5" w:rsidRDefault="005578E5" w:rsidP="001408F6">
      <w:pPr>
        <w:spacing w:after="120"/>
        <w:ind w:left="72"/>
        <w:contextualSpacing/>
        <w:rPr>
          <w:sz w:val="24"/>
          <w:szCs w:val="24"/>
        </w:rPr>
      </w:pPr>
    </w:p>
    <w:p w14:paraId="123FA314" w14:textId="77777777" w:rsidR="005578E5" w:rsidRDefault="004E254E" w:rsidP="001408F6">
      <w:pPr>
        <w:ind w:left="72"/>
        <w:contextualSpacing/>
        <w:rPr>
          <w:sz w:val="24"/>
          <w:szCs w:val="24"/>
        </w:rPr>
      </w:pPr>
      <w:r>
        <w:rPr>
          <w:b/>
          <w:sz w:val="24"/>
          <w:szCs w:val="24"/>
        </w:rPr>
        <w:lastRenderedPageBreak/>
        <w:t>Dispute of Grade Policy</w:t>
      </w:r>
      <w:r>
        <w:rPr>
          <w:sz w:val="24"/>
          <w:szCs w:val="24"/>
        </w:rPr>
        <w:t>: Disputes on a grade for an assignment, quiz, or exam must be made within three days of when the grade is posted.</w:t>
      </w:r>
    </w:p>
    <w:p w14:paraId="2E5FEACB" w14:textId="77777777" w:rsidR="005578E5" w:rsidRDefault="005578E5" w:rsidP="001408F6">
      <w:pPr>
        <w:contextualSpacing/>
        <w:rPr>
          <w:rFonts w:ascii="Verdana" w:eastAsia="Verdana" w:hAnsi="Verdana" w:cs="Verdana"/>
        </w:rPr>
      </w:pPr>
    </w:p>
    <w:p w14:paraId="30BF2DE3" w14:textId="77777777" w:rsidR="005578E5" w:rsidRDefault="004E254E" w:rsidP="001408F6">
      <w:pPr>
        <w:spacing w:after="40"/>
        <w:contextualSpacing/>
        <w:rPr>
          <w:rFonts w:ascii="Verdana" w:eastAsia="Verdana" w:hAnsi="Verdana" w:cs="Verdana"/>
          <w:b/>
          <w:sz w:val="24"/>
          <w:szCs w:val="24"/>
        </w:rPr>
      </w:pPr>
      <w:r>
        <w:rPr>
          <w:rFonts w:ascii="Verdana" w:eastAsia="Verdana" w:hAnsi="Verdana" w:cs="Verdana"/>
          <w:b/>
          <w:sz w:val="24"/>
          <w:szCs w:val="24"/>
        </w:rPr>
        <w:t>Assignments and Examinations</w:t>
      </w:r>
    </w:p>
    <w:p w14:paraId="31502386" w14:textId="77777777" w:rsidR="005578E5" w:rsidRDefault="004E254E" w:rsidP="001408F6">
      <w:pPr>
        <w:spacing w:after="120"/>
        <w:ind w:left="72"/>
        <w:contextualSpacing/>
        <w:rPr>
          <w:rFonts w:ascii="Verdana" w:eastAsia="Verdana" w:hAnsi="Verdana" w:cs="Verdana"/>
        </w:rPr>
      </w:pPr>
      <w:r>
        <w:rPr>
          <w:sz w:val="24"/>
          <w:szCs w:val="24"/>
        </w:rPr>
        <w:t xml:space="preserve">All assignments, quizzes, and examinations are listed on D2L in the course calendar. </w:t>
      </w:r>
    </w:p>
    <w:p w14:paraId="6A6F9F26" w14:textId="77777777" w:rsidR="00535ABB" w:rsidRDefault="00535ABB" w:rsidP="001408F6">
      <w:pPr>
        <w:spacing w:after="40"/>
        <w:ind w:left="72"/>
        <w:contextualSpacing/>
        <w:rPr>
          <w:b/>
          <w:sz w:val="24"/>
          <w:szCs w:val="24"/>
          <w:u w:val="single"/>
        </w:rPr>
      </w:pPr>
    </w:p>
    <w:p w14:paraId="57395BFB" w14:textId="77777777" w:rsidR="00192F19" w:rsidRDefault="00192F19" w:rsidP="00192F19">
      <w:pPr>
        <w:spacing w:after="40"/>
        <w:ind w:left="72"/>
        <w:contextualSpacing/>
        <w:rPr>
          <w:b/>
          <w:sz w:val="24"/>
          <w:szCs w:val="24"/>
          <w:u w:val="single"/>
        </w:rPr>
      </w:pPr>
      <w:r>
        <w:rPr>
          <w:b/>
          <w:sz w:val="24"/>
          <w:szCs w:val="24"/>
          <w:u w:val="single"/>
        </w:rPr>
        <w:t>In Class Quizzes (15 points per Quiz; 180 points total)</w:t>
      </w:r>
    </w:p>
    <w:p w14:paraId="4E8A8A98" w14:textId="77777777" w:rsidR="00192F19" w:rsidRDefault="00192F19" w:rsidP="00192F19">
      <w:pPr>
        <w:spacing w:before="200"/>
        <w:ind w:left="90"/>
        <w:contextualSpacing/>
        <w:rPr>
          <w:sz w:val="24"/>
          <w:szCs w:val="24"/>
        </w:rPr>
      </w:pPr>
      <w:r>
        <w:rPr>
          <w:sz w:val="24"/>
          <w:szCs w:val="24"/>
          <w:highlight w:val="white"/>
        </w:rPr>
        <w:t>Short, in-class quizzes will be given during each learning module. Quizzes will be based on content for that module.</w:t>
      </w:r>
    </w:p>
    <w:p w14:paraId="33F3BDF7" w14:textId="77777777" w:rsidR="00192F19" w:rsidRDefault="00192F19" w:rsidP="00192F19">
      <w:pPr>
        <w:spacing w:before="200"/>
        <w:ind w:left="90"/>
        <w:contextualSpacing/>
        <w:rPr>
          <w:b/>
          <w:sz w:val="24"/>
          <w:szCs w:val="24"/>
          <w:u w:val="single"/>
        </w:rPr>
      </w:pPr>
    </w:p>
    <w:p w14:paraId="28CB70EB" w14:textId="007B21A1" w:rsidR="005578E5" w:rsidRDefault="004E254E" w:rsidP="001408F6">
      <w:pPr>
        <w:spacing w:after="40"/>
        <w:ind w:left="72"/>
        <w:contextualSpacing/>
        <w:rPr>
          <w:b/>
          <w:sz w:val="24"/>
          <w:szCs w:val="24"/>
          <w:u w:val="single"/>
        </w:rPr>
      </w:pPr>
      <w:r>
        <w:rPr>
          <w:b/>
          <w:sz w:val="24"/>
          <w:szCs w:val="24"/>
          <w:u w:val="single"/>
        </w:rPr>
        <w:t xml:space="preserve">Homework </w:t>
      </w:r>
      <w:r w:rsidR="00192F19">
        <w:rPr>
          <w:b/>
          <w:sz w:val="24"/>
          <w:szCs w:val="24"/>
          <w:u w:val="single"/>
        </w:rPr>
        <w:t xml:space="preserve">(30 points per </w:t>
      </w:r>
      <w:r w:rsidR="00735155">
        <w:rPr>
          <w:b/>
          <w:sz w:val="24"/>
          <w:szCs w:val="24"/>
          <w:u w:val="single"/>
        </w:rPr>
        <w:t>h</w:t>
      </w:r>
      <w:r w:rsidR="00192F19">
        <w:rPr>
          <w:b/>
          <w:sz w:val="24"/>
          <w:szCs w:val="24"/>
          <w:u w:val="single"/>
        </w:rPr>
        <w:t>omework; 360 points total)</w:t>
      </w:r>
    </w:p>
    <w:p w14:paraId="1FB7A617" w14:textId="77777777" w:rsidR="005578E5" w:rsidRDefault="004E254E" w:rsidP="001408F6">
      <w:pPr>
        <w:spacing w:after="120"/>
        <w:ind w:left="72"/>
        <w:contextualSpacing/>
        <w:rPr>
          <w:sz w:val="24"/>
          <w:szCs w:val="24"/>
        </w:rPr>
      </w:pPr>
      <w:r>
        <w:rPr>
          <w:sz w:val="24"/>
          <w:szCs w:val="24"/>
        </w:rPr>
        <w:t xml:space="preserve">Homework assignments are an opportunity for students to interpret results from real-world metagenomics data, bioinformatics tools, and </w:t>
      </w:r>
      <w:proofErr w:type="spellStart"/>
      <w:r>
        <w:rPr>
          <w:sz w:val="24"/>
          <w:szCs w:val="24"/>
        </w:rPr>
        <w:t>Jupyter</w:t>
      </w:r>
      <w:proofErr w:type="spellEnd"/>
      <w:r>
        <w:rPr>
          <w:sz w:val="24"/>
          <w:szCs w:val="24"/>
        </w:rPr>
        <w:t xml:space="preserve"> notebooks. These assignments are geared toward understanding metagenomics as a science, using both amplicon and whole-genome shotgun sequence datasets, to define the role of the human microbiome (in nutrition, health, and disease) or the world around us (the Earth Microbiome) and are based on core concepts taught during each learning module. </w:t>
      </w:r>
      <w:r>
        <w:rPr>
          <w:sz w:val="24"/>
          <w:szCs w:val="24"/>
          <w:u w:val="single"/>
        </w:rPr>
        <w:t xml:space="preserve">Homework </w:t>
      </w:r>
      <w:r w:rsidR="00880C8C">
        <w:rPr>
          <w:sz w:val="24"/>
          <w:szCs w:val="24"/>
          <w:u w:val="single"/>
        </w:rPr>
        <w:t xml:space="preserve">assignments </w:t>
      </w:r>
      <w:r>
        <w:rPr>
          <w:sz w:val="24"/>
          <w:szCs w:val="24"/>
          <w:u w:val="single"/>
        </w:rPr>
        <w:t>should be completed independently</w:t>
      </w:r>
      <w:r>
        <w:rPr>
          <w:sz w:val="24"/>
          <w:szCs w:val="24"/>
        </w:rPr>
        <w:t xml:space="preserve">. </w:t>
      </w:r>
      <w:r w:rsidR="00880C8C">
        <w:rPr>
          <w:sz w:val="24"/>
          <w:szCs w:val="24"/>
        </w:rPr>
        <w:t>Due dates are listed in the</w:t>
      </w:r>
      <w:r>
        <w:rPr>
          <w:sz w:val="24"/>
          <w:szCs w:val="24"/>
        </w:rPr>
        <w:t xml:space="preserve"> course schedule.</w:t>
      </w:r>
    </w:p>
    <w:p w14:paraId="636B751A" w14:textId="77777777" w:rsidR="005578E5" w:rsidRDefault="005578E5" w:rsidP="001408F6">
      <w:pPr>
        <w:spacing w:after="120"/>
        <w:ind w:left="72"/>
        <w:contextualSpacing/>
        <w:rPr>
          <w:sz w:val="24"/>
          <w:szCs w:val="24"/>
        </w:rPr>
      </w:pPr>
    </w:p>
    <w:p w14:paraId="2C7861DB" w14:textId="77777777" w:rsidR="005578E5" w:rsidRDefault="00192F19" w:rsidP="001408F6">
      <w:pPr>
        <w:spacing w:after="40"/>
        <w:ind w:left="72"/>
        <w:contextualSpacing/>
        <w:rPr>
          <w:b/>
          <w:sz w:val="24"/>
          <w:szCs w:val="24"/>
          <w:u w:val="single"/>
        </w:rPr>
      </w:pPr>
      <w:r>
        <w:rPr>
          <w:b/>
          <w:sz w:val="24"/>
          <w:szCs w:val="24"/>
          <w:u w:val="single"/>
        </w:rPr>
        <w:t>Metagenomics Journal Club</w:t>
      </w:r>
      <w:r w:rsidR="00511A02">
        <w:rPr>
          <w:b/>
          <w:sz w:val="24"/>
          <w:szCs w:val="24"/>
          <w:u w:val="single"/>
        </w:rPr>
        <w:t xml:space="preserve"> (210 points total)</w:t>
      </w:r>
    </w:p>
    <w:p w14:paraId="214EC841" w14:textId="77777777" w:rsidR="00511A02" w:rsidRDefault="00192F19" w:rsidP="00511A02">
      <w:pPr>
        <w:spacing w:before="200"/>
        <w:ind w:left="90"/>
        <w:contextualSpacing/>
        <w:rPr>
          <w:sz w:val="24"/>
          <w:szCs w:val="24"/>
        </w:rPr>
      </w:pPr>
      <w:r>
        <w:rPr>
          <w:sz w:val="24"/>
          <w:szCs w:val="24"/>
        </w:rPr>
        <w:t>Metagenomics is a relatively n</w:t>
      </w:r>
      <w:r w:rsidR="00511A02">
        <w:rPr>
          <w:sz w:val="24"/>
          <w:szCs w:val="24"/>
        </w:rPr>
        <w:t xml:space="preserve">ew and methods and techniques are rapidly changing; thus, </w:t>
      </w:r>
      <w:r>
        <w:rPr>
          <w:sz w:val="24"/>
          <w:szCs w:val="24"/>
        </w:rPr>
        <w:t xml:space="preserve">is critical that students to </w:t>
      </w:r>
      <w:r w:rsidR="00511A02">
        <w:rPr>
          <w:sz w:val="24"/>
          <w:szCs w:val="24"/>
        </w:rPr>
        <w:t xml:space="preserve">learn to </w:t>
      </w:r>
      <w:r>
        <w:rPr>
          <w:sz w:val="24"/>
          <w:szCs w:val="24"/>
        </w:rPr>
        <w:t xml:space="preserve">read and understand primary research articles. </w:t>
      </w:r>
      <w:r w:rsidR="00511A02">
        <w:rPr>
          <w:sz w:val="24"/>
          <w:szCs w:val="24"/>
        </w:rPr>
        <w:t xml:space="preserve">As part of this class, </w:t>
      </w:r>
      <w:r w:rsidR="00511A02" w:rsidRPr="00511A02">
        <w:rPr>
          <w:b/>
          <w:sz w:val="24"/>
          <w:szCs w:val="24"/>
        </w:rPr>
        <w:t>o</w:t>
      </w:r>
      <w:r w:rsidRPr="00511A02">
        <w:rPr>
          <w:b/>
          <w:sz w:val="24"/>
          <w:szCs w:val="24"/>
        </w:rPr>
        <w:t>ne scientific paper will be assigned for each of the six modules</w:t>
      </w:r>
      <w:r w:rsidR="00511A02">
        <w:rPr>
          <w:sz w:val="24"/>
          <w:szCs w:val="24"/>
        </w:rPr>
        <w:t xml:space="preserve">. </w:t>
      </w:r>
      <w:r>
        <w:rPr>
          <w:sz w:val="24"/>
          <w:szCs w:val="24"/>
        </w:rPr>
        <w:t xml:space="preserve">Students will be responsible for thoroughly reading the article and </w:t>
      </w:r>
      <w:r w:rsidRPr="00192F19">
        <w:rPr>
          <w:b/>
          <w:sz w:val="24"/>
          <w:szCs w:val="24"/>
        </w:rPr>
        <w:t>formulating two well-written questions</w:t>
      </w:r>
      <w:r>
        <w:rPr>
          <w:sz w:val="24"/>
          <w:szCs w:val="24"/>
        </w:rPr>
        <w:t xml:space="preserve"> </w:t>
      </w:r>
      <w:r w:rsidRPr="00192F19">
        <w:rPr>
          <w:b/>
          <w:sz w:val="24"/>
          <w:szCs w:val="24"/>
        </w:rPr>
        <w:t>(i.e., Journal Club Questions)</w:t>
      </w:r>
      <w:r>
        <w:rPr>
          <w:sz w:val="24"/>
          <w:szCs w:val="24"/>
        </w:rPr>
        <w:t xml:space="preserve"> that will be submitted to D2L for grading (2 points per question; 10 total points per article). </w:t>
      </w:r>
    </w:p>
    <w:p w14:paraId="66653A35" w14:textId="77777777" w:rsidR="00511A02" w:rsidRDefault="00192F19" w:rsidP="00511A02">
      <w:pPr>
        <w:spacing w:before="200"/>
        <w:ind w:left="90" w:firstLine="630"/>
        <w:contextualSpacing/>
        <w:rPr>
          <w:sz w:val="24"/>
          <w:szCs w:val="24"/>
        </w:rPr>
      </w:pPr>
      <w:r>
        <w:rPr>
          <w:sz w:val="24"/>
          <w:szCs w:val="24"/>
        </w:rPr>
        <w:t xml:space="preserve">Each student will be responsible for a </w:t>
      </w:r>
      <w:r>
        <w:rPr>
          <w:b/>
          <w:sz w:val="24"/>
          <w:szCs w:val="24"/>
        </w:rPr>
        <w:t xml:space="preserve">ca. </w:t>
      </w:r>
      <w:proofErr w:type="gramStart"/>
      <w:r>
        <w:rPr>
          <w:b/>
          <w:sz w:val="24"/>
          <w:szCs w:val="24"/>
        </w:rPr>
        <w:t xml:space="preserve">30 </w:t>
      </w:r>
      <w:r w:rsidRPr="00192F19">
        <w:rPr>
          <w:b/>
          <w:sz w:val="24"/>
          <w:szCs w:val="24"/>
        </w:rPr>
        <w:t>minute</w:t>
      </w:r>
      <w:proofErr w:type="gramEnd"/>
      <w:r>
        <w:rPr>
          <w:sz w:val="24"/>
          <w:szCs w:val="24"/>
        </w:rPr>
        <w:t xml:space="preserve"> </w:t>
      </w:r>
      <w:r w:rsidRPr="00192F19">
        <w:rPr>
          <w:b/>
          <w:sz w:val="24"/>
          <w:szCs w:val="24"/>
        </w:rPr>
        <w:t>class</w:t>
      </w:r>
      <w:r>
        <w:rPr>
          <w:sz w:val="24"/>
          <w:szCs w:val="24"/>
        </w:rPr>
        <w:t xml:space="preserve"> </w:t>
      </w:r>
      <w:r>
        <w:rPr>
          <w:b/>
          <w:sz w:val="24"/>
          <w:szCs w:val="24"/>
        </w:rPr>
        <w:t>presentation</w:t>
      </w:r>
      <w:r w:rsidRPr="00192F19">
        <w:rPr>
          <w:b/>
          <w:sz w:val="24"/>
          <w:szCs w:val="24"/>
        </w:rPr>
        <w:t xml:space="preserve"> of </w:t>
      </w:r>
      <w:r>
        <w:rPr>
          <w:b/>
          <w:sz w:val="24"/>
          <w:szCs w:val="24"/>
        </w:rPr>
        <w:t>one</w:t>
      </w:r>
      <w:r w:rsidRPr="00192F19">
        <w:rPr>
          <w:b/>
          <w:sz w:val="24"/>
          <w:szCs w:val="24"/>
        </w:rPr>
        <w:t xml:space="preserve"> </w:t>
      </w:r>
      <w:r>
        <w:rPr>
          <w:b/>
          <w:sz w:val="24"/>
          <w:szCs w:val="24"/>
        </w:rPr>
        <w:t xml:space="preserve">the research </w:t>
      </w:r>
      <w:r w:rsidRPr="00192F19">
        <w:rPr>
          <w:b/>
          <w:sz w:val="24"/>
          <w:szCs w:val="24"/>
        </w:rPr>
        <w:t>articles</w:t>
      </w:r>
      <w:r>
        <w:rPr>
          <w:b/>
          <w:sz w:val="24"/>
          <w:szCs w:val="24"/>
        </w:rPr>
        <w:t xml:space="preserve"> (i.e., Journal Club Presentation</w:t>
      </w:r>
      <w:r w:rsidR="00511A02">
        <w:rPr>
          <w:b/>
          <w:sz w:val="24"/>
          <w:szCs w:val="24"/>
        </w:rPr>
        <w:t>; 30 points total</w:t>
      </w:r>
      <w:r>
        <w:rPr>
          <w:b/>
          <w:sz w:val="24"/>
          <w:szCs w:val="24"/>
        </w:rPr>
        <w:t>)</w:t>
      </w:r>
      <w:r>
        <w:rPr>
          <w:sz w:val="24"/>
          <w:szCs w:val="24"/>
        </w:rPr>
        <w:t xml:space="preserve">. Each presentation will include (but not be limited to) the scientific rationale, methods, and findings of each of the manuscripts. Students will be assigned to a presentation date the </w:t>
      </w:r>
      <w:r w:rsidR="00511A02">
        <w:rPr>
          <w:sz w:val="24"/>
          <w:szCs w:val="24"/>
        </w:rPr>
        <w:t xml:space="preserve">first week of class. After the journal club presentation, students will be broken into small groups to briefly discuss the questions from the class. </w:t>
      </w:r>
    </w:p>
    <w:p w14:paraId="5476DFDD" w14:textId="769BFBCF" w:rsidR="005578E5" w:rsidRPr="00511A02" w:rsidRDefault="00511A02" w:rsidP="00511A02">
      <w:pPr>
        <w:spacing w:before="200"/>
        <w:ind w:left="90" w:firstLine="630"/>
        <w:contextualSpacing/>
        <w:rPr>
          <w:sz w:val="24"/>
          <w:szCs w:val="24"/>
        </w:rPr>
      </w:pPr>
      <w:r>
        <w:rPr>
          <w:sz w:val="24"/>
          <w:szCs w:val="24"/>
        </w:rPr>
        <w:t>Lastly, students will be responsible for writing a</w:t>
      </w:r>
      <w:r w:rsidRPr="00511A02">
        <w:rPr>
          <w:b/>
          <w:sz w:val="24"/>
          <w:szCs w:val="24"/>
        </w:rPr>
        <w:t xml:space="preserve"> summary of each research article (i.e., Journal Club Written Summaries</w:t>
      </w:r>
      <w:r w:rsidR="00481920">
        <w:rPr>
          <w:b/>
          <w:sz w:val="24"/>
          <w:szCs w:val="24"/>
        </w:rPr>
        <w:t xml:space="preserve"> (graduate) or Highlights (undergraduates)</w:t>
      </w:r>
      <w:r>
        <w:rPr>
          <w:b/>
          <w:sz w:val="24"/>
          <w:szCs w:val="24"/>
        </w:rPr>
        <w:t>; 20 points each</w:t>
      </w:r>
      <w:r w:rsidRPr="00511A02">
        <w:rPr>
          <w:b/>
          <w:sz w:val="24"/>
          <w:szCs w:val="24"/>
        </w:rPr>
        <w:t>)</w:t>
      </w:r>
      <w:r>
        <w:rPr>
          <w:sz w:val="24"/>
          <w:szCs w:val="24"/>
        </w:rPr>
        <w:t xml:space="preserve">. Graduate students will be expected to write a minimum of 1 page summary that includes </w:t>
      </w:r>
      <w:r w:rsidRPr="00511A02">
        <w:rPr>
          <w:sz w:val="24"/>
          <w:szCs w:val="24"/>
        </w:rPr>
        <w:t>detailed answers to the questions that they addressed in their group.</w:t>
      </w:r>
      <w:r>
        <w:rPr>
          <w:sz w:val="24"/>
          <w:szCs w:val="24"/>
        </w:rPr>
        <w:t xml:space="preserve"> Undergraduate students will </w:t>
      </w:r>
      <w:r>
        <w:rPr>
          <w:sz w:val="24"/>
          <w:szCs w:val="24"/>
          <w:highlight w:val="white"/>
        </w:rPr>
        <w:t>be responsible for writing a minimum of 1 pg. bulleted list of important points</w:t>
      </w:r>
      <w:r w:rsidR="00481920">
        <w:rPr>
          <w:sz w:val="24"/>
          <w:szCs w:val="24"/>
          <w:highlight w:val="white"/>
        </w:rPr>
        <w:t xml:space="preserve"> (highlights)</w:t>
      </w:r>
      <w:r>
        <w:rPr>
          <w:sz w:val="24"/>
          <w:szCs w:val="24"/>
          <w:highlight w:val="white"/>
        </w:rPr>
        <w:t xml:space="preserve"> for each research paper. </w:t>
      </w:r>
    </w:p>
    <w:p w14:paraId="6F770E9A" w14:textId="77777777" w:rsidR="005578E5" w:rsidRDefault="005578E5" w:rsidP="001408F6">
      <w:pPr>
        <w:ind w:left="72"/>
        <w:contextualSpacing/>
        <w:rPr>
          <w:color w:val="333333"/>
          <w:sz w:val="24"/>
          <w:szCs w:val="24"/>
          <w:highlight w:val="white"/>
        </w:rPr>
      </w:pPr>
    </w:p>
    <w:p w14:paraId="45782AAC" w14:textId="77777777" w:rsidR="005578E5" w:rsidRPr="00511A02" w:rsidRDefault="00511A02" w:rsidP="00511A02">
      <w:pPr>
        <w:spacing w:after="40"/>
        <w:ind w:left="72"/>
        <w:contextualSpacing/>
        <w:rPr>
          <w:b/>
          <w:sz w:val="24"/>
          <w:szCs w:val="24"/>
        </w:rPr>
      </w:pPr>
      <w:r>
        <w:rPr>
          <w:b/>
          <w:sz w:val="24"/>
          <w:szCs w:val="24"/>
          <w:u w:val="single"/>
        </w:rPr>
        <w:t xml:space="preserve">Exams </w:t>
      </w:r>
      <w:r w:rsidR="004E254E" w:rsidRPr="00511A02">
        <w:rPr>
          <w:b/>
          <w:sz w:val="24"/>
          <w:szCs w:val="24"/>
          <w:u w:val="single"/>
        </w:rPr>
        <w:t>(</w:t>
      </w:r>
      <w:r w:rsidR="00DE51AC" w:rsidRPr="00511A02">
        <w:rPr>
          <w:b/>
          <w:sz w:val="24"/>
          <w:szCs w:val="24"/>
          <w:highlight w:val="white"/>
          <w:u w:val="single"/>
        </w:rPr>
        <w:t>250 points total)</w:t>
      </w:r>
    </w:p>
    <w:p w14:paraId="2E09E4B9" w14:textId="77777777" w:rsidR="005578E5" w:rsidRDefault="004E254E" w:rsidP="001408F6">
      <w:pPr>
        <w:spacing w:before="200"/>
        <w:ind w:left="72"/>
        <w:contextualSpacing/>
        <w:rPr>
          <w:sz w:val="24"/>
          <w:szCs w:val="24"/>
        </w:rPr>
      </w:pPr>
      <w:r>
        <w:rPr>
          <w:sz w:val="24"/>
          <w:szCs w:val="24"/>
        </w:rPr>
        <w:t xml:space="preserve">Students will take two exams based on course reading materials, homework, and in-class discussions (see course schedule for dates). Exam 1 will cover learning modules 1-3 and exam 2 will cover modules 4-7. Each exam will be administered in D2L using a pool of randomly assigned questions with varying levels of difficulty.   </w:t>
      </w:r>
    </w:p>
    <w:p w14:paraId="4C9857AF" w14:textId="77777777" w:rsidR="005578E5" w:rsidRDefault="005578E5" w:rsidP="001408F6">
      <w:pPr>
        <w:spacing w:before="200"/>
        <w:ind w:left="72"/>
        <w:contextualSpacing/>
        <w:rPr>
          <w:sz w:val="24"/>
          <w:szCs w:val="24"/>
        </w:rPr>
      </w:pPr>
    </w:p>
    <w:p w14:paraId="0B68C38C" w14:textId="77777777" w:rsidR="005578E5" w:rsidRDefault="004E254E" w:rsidP="001408F6">
      <w:pPr>
        <w:spacing w:after="40"/>
        <w:contextualSpacing/>
        <w:rPr>
          <w:rFonts w:ascii="Verdana" w:eastAsia="Verdana" w:hAnsi="Verdana" w:cs="Verdana"/>
          <w:sz w:val="24"/>
          <w:szCs w:val="24"/>
        </w:rPr>
      </w:pPr>
      <w:r>
        <w:rPr>
          <w:rFonts w:ascii="Verdana" w:eastAsia="Verdana" w:hAnsi="Verdana" w:cs="Verdana"/>
          <w:b/>
          <w:sz w:val="24"/>
          <w:szCs w:val="24"/>
        </w:rPr>
        <w:t>Honors Credit</w:t>
      </w:r>
    </w:p>
    <w:p w14:paraId="4D2285B6" w14:textId="77777777" w:rsidR="005578E5" w:rsidRDefault="004E254E" w:rsidP="001408F6">
      <w:pPr>
        <w:ind w:left="72"/>
        <w:contextualSpacing/>
        <w:rPr>
          <w:sz w:val="24"/>
          <w:szCs w:val="24"/>
        </w:rPr>
      </w:pPr>
      <w:r>
        <w:rPr>
          <w:sz w:val="24"/>
          <w:szCs w:val="24"/>
        </w:rPr>
        <w:t xml:space="preserve">Students wishing to contract this course for Honors Credit should email me to set up an appointment to discuss the terms of the contract. Information on Honors Contracts can be found at </w:t>
      </w:r>
      <w:hyperlink r:id="rId21">
        <w:r>
          <w:rPr>
            <w:color w:val="0000FF"/>
            <w:sz w:val="24"/>
            <w:szCs w:val="24"/>
            <w:u w:val="single"/>
          </w:rPr>
          <w:t>http://www.honors.arizona.edu/faculty-and-advisors/contracts</w:t>
        </w:r>
      </w:hyperlink>
      <w:r>
        <w:rPr>
          <w:sz w:val="24"/>
          <w:szCs w:val="24"/>
        </w:rPr>
        <w:t xml:space="preserve">.  </w:t>
      </w:r>
    </w:p>
    <w:p w14:paraId="40706545" w14:textId="77777777" w:rsidR="00DE51AC" w:rsidRDefault="00DE51AC" w:rsidP="001408F6">
      <w:pPr>
        <w:spacing w:after="40"/>
        <w:contextualSpacing/>
        <w:rPr>
          <w:rFonts w:ascii="Verdana" w:eastAsia="Verdana" w:hAnsi="Verdana" w:cs="Verdana"/>
          <w:b/>
          <w:sz w:val="24"/>
          <w:szCs w:val="24"/>
        </w:rPr>
      </w:pPr>
    </w:p>
    <w:p w14:paraId="32E9CCDA" w14:textId="77777777" w:rsidR="005578E5" w:rsidRDefault="00511A02" w:rsidP="001408F6">
      <w:pPr>
        <w:spacing w:after="40"/>
        <w:contextualSpacing/>
        <w:rPr>
          <w:rFonts w:ascii="Verdana" w:eastAsia="Verdana" w:hAnsi="Verdana" w:cs="Verdana"/>
          <w:b/>
          <w:sz w:val="24"/>
          <w:szCs w:val="24"/>
        </w:rPr>
      </w:pPr>
      <w:r>
        <w:rPr>
          <w:rFonts w:ascii="Verdana" w:eastAsia="Verdana" w:hAnsi="Verdana" w:cs="Verdana"/>
          <w:b/>
          <w:sz w:val="24"/>
          <w:szCs w:val="24"/>
        </w:rPr>
        <w:lastRenderedPageBreak/>
        <w:t>Class</w:t>
      </w:r>
      <w:r w:rsidR="004E254E">
        <w:rPr>
          <w:rFonts w:ascii="Verdana" w:eastAsia="Verdana" w:hAnsi="Verdana" w:cs="Verdana"/>
          <w:b/>
          <w:sz w:val="24"/>
          <w:szCs w:val="24"/>
        </w:rPr>
        <w:t xml:space="preserve"> Behavior Policy</w:t>
      </w:r>
    </w:p>
    <w:p w14:paraId="4E64974B" w14:textId="77777777" w:rsidR="005578E5" w:rsidRDefault="004E254E" w:rsidP="001408F6">
      <w:pPr>
        <w:spacing w:after="120"/>
        <w:ind w:left="72"/>
        <w:contextualSpacing/>
        <w:rPr>
          <w:sz w:val="24"/>
          <w:szCs w:val="24"/>
        </w:rPr>
      </w:pPr>
      <w:r>
        <w:rPr>
          <w:sz w:val="24"/>
          <w:szCs w:val="24"/>
        </w:rPr>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040CF8C2" w14:textId="77777777" w:rsidR="00DE51AC" w:rsidRDefault="00DE51AC" w:rsidP="001408F6">
      <w:pPr>
        <w:spacing w:after="40"/>
        <w:contextualSpacing/>
        <w:rPr>
          <w:rFonts w:ascii="Verdana" w:eastAsia="Verdana" w:hAnsi="Verdana" w:cs="Verdana"/>
          <w:b/>
          <w:sz w:val="24"/>
          <w:szCs w:val="24"/>
        </w:rPr>
      </w:pPr>
    </w:p>
    <w:p w14:paraId="00AFDC29" w14:textId="77777777" w:rsidR="005578E5" w:rsidRDefault="004E254E" w:rsidP="001408F6">
      <w:pPr>
        <w:spacing w:after="40"/>
        <w:contextualSpacing/>
        <w:rPr>
          <w:rFonts w:ascii="Verdana" w:eastAsia="Verdana" w:hAnsi="Verdana" w:cs="Verdana"/>
          <w:sz w:val="24"/>
          <w:szCs w:val="24"/>
          <w:highlight w:val="yellow"/>
        </w:rPr>
      </w:pPr>
      <w:r>
        <w:rPr>
          <w:rFonts w:ascii="Verdana" w:eastAsia="Verdana" w:hAnsi="Verdana" w:cs="Verdana"/>
          <w:b/>
          <w:sz w:val="24"/>
          <w:szCs w:val="24"/>
        </w:rPr>
        <w:t>Threatening Behavior Policy</w:t>
      </w:r>
      <w:r>
        <w:rPr>
          <w:rFonts w:ascii="Verdana" w:eastAsia="Verdana" w:hAnsi="Verdana" w:cs="Verdana"/>
          <w:sz w:val="24"/>
          <w:szCs w:val="24"/>
          <w:highlight w:val="yellow"/>
        </w:rPr>
        <w:t xml:space="preserve"> </w:t>
      </w:r>
    </w:p>
    <w:p w14:paraId="759DAE6A" w14:textId="77777777" w:rsidR="005578E5" w:rsidRDefault="004E254E" w:rsidP="001408F6">
      <w:pPr>
        <w:ind w:left="72"/>
        <w:contextualSpacing/>
        <w:rPr>
          <w:sz w:val="24"/>
          <w:szCs w:val="24"/>
        </w:rPr>
      </w:pPr>
      <w:r>
        <w:rPr>
          <w:sz w:val="24"/>
          <w:szCs w:val="24"/>
        </w:rPr>
        <w:t xml:space="preserve">The UA Threatening Behavior by Students Policy prohibits threats of physical harm to any member of the University community, including to oneself. See </w:t>
      </w:r>
      <w:hyperlink r:id="rId22">
        <w:r>
          <w:rPr>
            <w:color w:val="0000FF"/>
            <w:sz w:val="24"/>
            <w:szCs w:val="24"/>
            <w:u w:val="single"/>
          </w:rPr>
          <w:t>http://policy.arizona.edu/education-and-student-affairs/threatening-behavior-students</w:t>
        </w:r>
      </w:hyperlink>
      <w:r>
        <w:rPr>
          <w:sz w:val="24"/>
          <w:szCs w:val="24"/>
        </w:rPr>
        <w:t xml:space="preserve">. </w:t>
      </w:r>
    </w:p>
    <w:p w14:paraId="3D390814" w14:textId="77777777" w:rsidR="00DE51AC" w:rsidRDefault="00DE51AC" w:rsidP="001408F6">
      <w:pPr>
        <w:widowControl/>
        <w:spacing w:after="40"/>
        <w:contextualSpacing/>
        <w:rPr>
          <w:color w:val="FF0000"/>
          <w:sz w:val="24"/>
          <w:szCs w:val="24"/>
        </w:rPr>
      </w:pPr>
    </w:p>
    <w:p w14:paraId="4FF7B81D" w14:textId="77777777" w:rsidR="005578E5" w:rsidRDefault="004E254E" w:rsidP="001408F6">
      <w:pPr>
        <w:widowControl/>
        <w:spacing w:after="40"/>
        <w:contextualSpacing/>
        <w:rPr>
          <w:rFonts w:ascii="Verdana" w:eastAsia="Verdana" w:hAnsi="Verdana" w:cs="Verdana"/>
          <w:sz w:val="24"/>
          <w:szCs w:val="24"/>
        </w:rPr>
      </w:pPr>
      <w:r>
        <w:rPr>
          <w:rFonts w:ascii="Verdana" w:eastAsia="Verdana" w:hAnsi="Verdana" w:cs="Verdana"/>
          <w:b/>
          <w:sz w:val="24"/>
          <w:szCs w:val="24"/>
        </w:rPr>
        <w:t>Accessibility and Accommodations</w:t>
      </w:r>
    </w:p>
    <w:p w14:paraId="6D5F09FF" w14:textId="77777777" w:rsidR="005578E5" w:rsidRDefault="004E254E" w:rsidP="001408F6">
      <w:pPr>
        <w:widowControl/>
        <w:ind w:left="72"/>
        <w:contextualSpacing/>
        <w:rPr>
          <w:sz w:val="24"/>
          <w:szCs w:val="24"/>
        </w:rPr>
      </w:pPr>
      <w:r>
        <w:rPr>
          <w:sz w:val="24"/>
          <w:szCs w:val="24"/>
        </w:rPr>
        <w:t>At the University of Arizona, we strive to make learning experiences as accessible as possible. If you anticipate or experience physical or academic barriers based on disability or pregnancy, you are welcome to let me know so that we can discuss options. You are also encouraged to contact Disability Resources (520) 621-3268 to explore reasonable accommodation.</w:t>
      </w:r>
      <w:r>
        <w:rPr>
          <w:sz w:val="24"/>
          <w:szCs w:val="24"/>
        </w:rPr>
        <w:br/>
      </w:r>
      <w:r>
        <w:rPr>
          <w:sz w:val="24"/>
          <w:szCs w:val="24"/>
        </w:rPr>
        <w:br/>
        <w:t>If our class meets at a campus location: Please be aware that the accessible table and chairs in this room should remain available for students who find that standard classroom seating is not usable.</w:t>
      </w:r>
    </w:p>
    <w:p w14:paraId="720F7731" w14:textId="77777777" w:rsidR="00DE51AC" w:rsidRDefault="00DE51AC" w:rsidP="001408F6">
      <w:pPr>
        <w:spacing w:after="40"/>
        <w:contextualSpacing/>
        <w:rPr>
          <w:sz w:val="24"/>
          <w:szCs w:val="24"/>
        </w:rPr>
      </w:pPr>
    </w:p>
    <w:p w14:paraId="565C80DF" w14:textId="77777777" w:rsidR="005578E5" w:rsidRDefault="004E254E" w:rsidP="001408F6">
      <w:pPr>
        <w:spacing w:after="40"/>
        <w:contextualSpacing/>
        <w:rPr>
          <w:rFonts w:ascii="Verdana" w:eastAsia="Verdana" w:hAnsi="Verdana" w:cs="Verdana"/>
          <w:sz w:val="24"/>
          <w:szCs w:val="24"/>
        </w:rPr>
      </w:pPr>
      <w:r>
        <w:rPr>
          <w:rFonts w:ascii="Verdana" w:eastAsia="Verdana" w:hAnsi="Verdana" w:cs="Verdana"/>
          <w:b/>
          <w:sz w:val="24"/>
          <w:szCs w:val="24"/>
        </w:rPr>
        <w:t>Code of Academic Integrity</w:t>
      </w:r>
    </w:p>
    <w:p w14:paraId="35C8BE68" w14:textId="77777777" w:rsidR="005578E5" w:rsidRDefault="004E254E" w:rsidP="001408F6">
      <w:pPr>
        <w:spacing w:after="120"/>
        <w:ind w:left="72"/>
        <w:contextualSpacing/>
        <w:rPr>
          <w:sz w:val="24"/>
          <w:szCs w:val="24"/>
          <w:u w:val="single"/>
        </w:rPr>
      </w:pPr>
      <w:r>
        <w:rPr>
          <w:sz w:val="24"/>
          <w:szCs w:val="24"/>
        </w:rPr>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w:t>
      </w:r>
      <w:hyperlink r:id="rId23">
        <w:r>
          <w:rPr>
            <w:color w:val="0000FF"/>
            <w:sz w:val="24"/>
            <w:szCs w:val="24"/>
            <w:u w:val="single"/>
          </w:rPr>
          <w:t>http://deanofstudents.arizona.edu/academic-integrity/students/academic-integrity</w:t>
        </w:r>
      </w:hyperlink>
      <w:r>
        <w:rPr>
          <w:sz w:val="24"/>
          <w:szCs w:val="24"/>
        </w:rPr>
        <w:t>.</w:t>
      </w:r>
    </w:p>
    <w:p w14:paraId="713D7BFD" w14:textId="77777777" w:rsidR="00DE51AC" w:rsidRDefault="00DE51AC" w:rsidP="001408F6">
      <w:pPr>
        <w:spacing w:after="120"/>
        <w:ind w:left="72"/>
        <w:contextualSpacing/>
        <w:rPr>
          <w:sz w:val="24"/>
          <w:szCs w:val="24"/>
        </w:rPr>
      </w:pPr>
    </w:p>
    <w:p w14:paraId="5ECA7B70" w14:textId="77777777" w:rsidR="005578E5" w:rsidRDefault="004E254E" w:rsidP="001408F6">
      <w:pPr>
        <w:spacing w:after="120"/>
        <w:ind w:left="72"/>
        <w:contextualSpacing/>
        <w:rPr>
          <w:sz w:val="24"/>
          <w:szCs w:val="24"/>
        </w:rPr>
      </w:pPr>
      <w:r>
        <w:rPr>
          <w:sz w:val="24"/>
          <w:szCs w:val="24"/>
        </w:rPr>
        <w:t xml:space="preserve">The University Libraries have some excellent tips for avoiding plagiarism, available at </w:t>
      </w:r>
      <w:hyperlink r:id="rId24">
        <w:r>
          <w:rPr>
            <w:color w:val="0000FF"/>
            <w:sz w:val="24"/>
            <w:szCs w:val="24"/>
            <w:u w:val="single"/>
          </w:rPr>
          <w:t>http://new.library.arizona.edu/research/citing/plagiarism</w:t>
        </w:r>
      </w:hyperlink>
      <w:r>
        <w:rPr>
          <w:sz w:val="24"/>
          <w:szCs w:val="24"/>
        </w:rPr>
        <w:t>.</w:t>
      </w:r>
    </w:p>
    <w:p w14:paraId="18EE727F" w14:textId="77777777" w:rsidR="005578E5" w:rsidRDefault="004E254E" w:rsidP="001408F6">
      <w:pPr>
        <w:ind w:left="72"/>
        <w:contextualSpacing/>
        <w:rPr>
          <w:sz w:val="24"/>
          <w:szCs w:val="24"/>
        </w:rPr>
      </w:pPr>
      <w:r>
        <w:rPr>
          <w:i/>
          <w:sz w:val="24"/>
          <w:szCs w:val="24"/>
        </w:rPr>
        <w:t>Selling class notes and/or other course materials to other students or to a third party for resale is not permitted without the instructor’s express written consent</w:t>
      </w:r>
      <w:r>
        <w:rPr>
          <w:sz w:val="24"/>
          <w:szCs w:val="24"/>
        </w:rPr>
        <w:t>. Violations to this and other course rules are subject to the Code of Academic Integrity and may result in course sanctions. Additionally, students who use D2L or UA e-mail to sell or buy these copyrighted materials are subject to Code of Conduct Violations for misuse of student e-mail addresses. This conduct may also constitute copyright infringement.</w:t>
      </w:r>
    </w:p>
    <w:p w14:paraId="0EAB40D1" w14:textId="77777777" w:rsidR="00DE51AC" w:rsidRDefault="00DE51AC" w:rsidP="001408F6">
      <w:pPr>
        <w:spacing w:after="40"/>
        <w:contextualSpacing/>
        <w:rPr>
          <w:rFonts w:ascii="Verdana" w:eastAsia="Verdana" w:hAnsi="Verdana" w:cs="Verdana"/>
        </w:rPr>
      </w:pPr>
    </w:p>
    <w:p w14:paraId="5AE23AC3" w14:textId="77777777" w:rsidR="005578E5" w:rsidRDefault="004E254E" w:rsidP="001408F6">
      <w:pPr>
        <w:spacing w:after="40"/>
        <w:contextualSpacing/>
        <w:rPr>
          <w:rFonts w:ascii="Verdana" w:eastAsia="Verdana" w:hAnsi="Verdana" w:cs="Verdana"/>
          <w:sz w:val="24"/>
          <w:szCs w:val="24"/>
        </w:rPr>
      </w:pPr>
      <w:r>
        <w:rPr>
          <w:rFonts w:ascii="Verdana" w:eastAsia="Verdana" w:hAnsi="Verdana" w:cs="Verdana"/>
          <w:b/>
          <w:sz w:val="24"/>
          <w:szCs w:val="24"/>
        </w:rPr>
        <w:t>UA Nondiscrimination and Anti-harassment Policy</w:t>
      </w:r>
      <w:r>
        <w:rPr>
          <w:rFonts w:ascii="Verdana" w:eastAsia="Verdana" w:hAnsi="Verdana" w:cs="Verdana"/>
          <w:sz w:val="24"/>
          <w:szCs w:val="24"/>
        </w:rPr>
        <w:t xml:space="preserve"> </w:t>
      </w:r>
    </w:p>
    <w:p w14:paraId="33F52475" w14:textId="77777777" w:rsidR="005578E5" w:rsidRDefault="004E254E" w:rsidP="001408F6">
      <w:pPr>
        <w:spacing w:after="120"/>
        <w:ind w:left="72"/>
        <w:contextualSpacing/>
        <w:rPr>
          <w:color w:val="0000FF"/>
          <w:sz w:val="24"/>
          <w:szCs w:val="24"/>
          <w:u w:val="single"/>
        </w:rPr>
      </w:pPr>
      <w:r>
        <w:rPr>
          <w:sz w:val="24"/>
          <w:szCs w:val="24"/>
        </w:rPr>
        <w:t xml:space="preserve">The University is committed to creating and maintaining an environment free of discrimination; see </w:t>
      </w:r>
      <w:hyperlink r:id="rId25">
        <w:r>
          <w:rPr>
            <w:color w:val="0000FF"/>
            <w:sz w:val="24"/>
            <w:szCs w:val="24"/>
            <w:u w:val="single"/>
          </w:rPr>
          <w:t>http://policy.arizona.edu/human-resources/nondiscrimination-and-anti-harassment-policy</w:t>
        </w:r>
      </w:hyperlink>
    </w:p>
    <w:p w14:paraId="5E845945" w14:textId="77777777" w:rsidR="005578E5" w:rsidRDefault="004E254E" w:rsidP="001408F6">
      <w:pPr>
        <w:ind w:left="72"/>
        <w:contextualSpacing/>
        <w:rPr>
          <w:sz w:val="24"/>
          <w:szCs w:val="24"/>
        </w:rPr>
      </w:pPr>
      <w:r>
        <w:rPr>
          <w:sz w:val="24"/>
          <w:szCs w:val="24"/>
        </w:rPr>
        <w:t>Our classroom is a place where everyone is encouraged to express well-formed opinions and their reasons for those opinions. We also want to create a tolerant and open environment where such opinions can be expressed without resorting to bullying or discrimination of others.</w:t>
      </w:r>
    </w:p>
    <w:p w14:paraId="166191D2" w14:textId="77777777" w:rsidR="00DE51AC" w:rsidRDefault="00DE51AC" w:rsidP="001408F6">
      <w:pPr>
        <w:spacing w:after="40"/>
        <w:contextualSpacing/>
        <w:rPr>
          <w:rFonts w:ascii="Verdana" w:eastAsia="Verdana" w:hAnsi="Verdana" w:cs="Verdana"/>
        </w:rPr>
      </w:pPr>
    </w:p>
    <w:p w14:paraId="3823F264" w14:textId="77777777" w:rsidR="005578E5" w:rsidRDefault="004E254E" w:rsidP="001408F6">
      <w:pPr>
        <w:spacing w:after="40"/>
        <w:contextualSpacing/>
        <w:rPr>
          <w:rFonts w:ascii="Verdana" w:eastAsia="Verdana" w:hAnsi="Verdana" w:cs="Verdana"/>
          <w:sz w:val="24"/>
          <w:szCs w:val="24"/>
        </w:rPr>
      </w:pPr>
      <w:r>
        <w:rPr>
          <w:rFonts w:ascii="Verdana" w:eastAsia="Verdana" w:hAnsi="Verdana" w:cs="Verdana"/>
          <w:b/>
          <w:sz w:val="24"/>
          <w:szCs w:val="24"/>
        </w:rPr>
        <w:t xml:space="preserve">Additional Resources for Students </w:t>
      </w:r>
    </w:p>
    <w:p w14:paraId="5616BCA5" w14:textId="77777777" w:rsidR="005578E5" w:rsidRDefault="004E254E" w:rsidP="001408F6">
      <w:pPr>
        <w:spacing w:after="120"/>
        <w:ind w:left="72"/>
        <w:contextualSpacing/>
        <w:rPr>
          <w:sz w:val="24"/>
          <w:szCs w:val="24"/>
        </w:rPr>
      </w:pPr>
      <w:r>
        <w:rPr>
          <w:sz w:val="24"/>
          <w:szCs w:val="24"/>
        </w:rPr>
        <w:t xml:space="preserve">UA Academic policies and procedures are available at </w:t>
      </w:r>
      <w:hyperlink r:id="rId26">
        <w:r>
          <w:rPr>
            <w:color w:val="0000FF"/>
            <w:sz w:val="24"/>
            <w:szCs w:val="24"/>
            <w:u w:val="single"/>
          </w:rPr>
          <w:t>http://catalog.arizona.edu/policies</w:t>
        </w:r>
      </w:hyperlink>
      <w:r>
        <w:rPr>
          <w:sz w:val="24"/>
          <w:szCs w:val="24"/>
        </w:rPr>
        <w:t xml:space="preserve"> </w:t>
      </w:r>
    </w:p>
    <w:p w14:paraId="414FE95F" w14:textId="77777777" w:rsidR="005578E5" w:rsidRDefault="004E254E" w:rsidP="001408F6">
      <w:pPr>
        <w:ind w:left="72"/>
        <w:contextualSpacing/>
        <w:rPr>
          <w:b/>
          <w:sz w:val="24"/>
          <w:szCs w:val="24"/>
        </w:rPr>
      </w:pPr>
      <w:r>
        <w:rPr>
          <w:sz w:val="24"/>
          <w:szCs w:val="24"/>
        </w:rPr>
        <w:t xml:space="preserve">Student Assistance and Advocacy information is available at </w:t>
      </w:r>
      <w:hyperlink r:id="rId27">
        <w:r>
          <w:rPr>
            <w:color w:val="0000FF"/>
            <w:sz w:val="24"/>
            <w:szCs w:val="24"/>
            <w:u w:val="single"/>
          </w:rPr>
          <w:t>http://deanofstudents.arizona.edu/student-</w:t>
        </w:r>
        <w:r>
          <w:rPr>
            <w:color w:val="0000FF"/>
            <w:sz w:val="24"/>
            <w:szCs w:val="24"/>
            <w:u w:val="single"/>
          </w:rPr>
          <w:lastRenderedPageBreak/>
          <w:t>assistance/students/student-assistance</w:t>
        </w:r>
      </w:hyperlink>
    </w:p>
    <w:p w14:paraId="31B8BCC7" w14:textId="77777777" w:rsidR="00DE51AC" w:rsidRDefault="00DE51AC" w:rsidP="001408F6">
      <w:pPr>
        <w:spacing w:after="40"/>
        <w:contextualSpacing/>
        <w:rPr>
          <w:rFonts w:ascii="Verdana" w:eastAsia="Verdana" w:hAnsi="Verdana" w:cs="Verdana"/>
          <w:b/>
        </w:rPr>
      </w:pPr>
    </w:p>
    <w:p w14:paraId="172EDAEA" w14:textId="77777777" w:rsidR="005578E5" w:rsidRDefault="004E254E" w:rsidP="001408F6">
      <w:pPr>
        <w:spacing w:after="40"/>
        <w:contextualSpacing/>
        <w:rPr>
          <w:rFonts w:ascii="Verdana" w:eastAsia="Verdana" w:hAnsi="Verdana" w:cs="Verdana"/>
          <w:sz w:val="24"/>
          <w:szCs w:val="24"/>
        </w:rPr>
      </w:pPr>
      <w:r>
        <w:rPr>
          <w:rFonts w:ascii="Verdana" w:eastAsia="Verdana" w:hAnsi="Verdana" w:cs="Verdana"/>
          <w:b/>
          <w:sz w:val="24"/>
          <w:szCs w:val="24"/>
        </w:rPr>
        <w:t>Confidentiality of Student Records</w:t>
      </w:r>
    </w:p>
    <w:p w14:paraId="7B90F475" w14:textId="77777777" w:rsidR="005578E5" w:rsidRDefault="00000000" w:rsidP="001408F6">
      <w:pPr>
        <w:ind w:left="72"/>
        <w:contextualSpacing/>
        <w:rPr>
          <w:sz w:val="24"/>
          <w:szCs w:val="24"/>
        </w:rPr>
      </w:pPr>
      <w:hyperlink r:id="rId28">
        <w:r w:rsidR="004E254E">
          <w:rPr>
            <w:color w:val="0000FF"/>
            <w:sz w:val="24"/>
            <w:szCs w:val="24"/>
            <w:u w:val="single"/>
          </w:rPr>
          <w:t>http://www.registrar.arizona.edu/personal-information/family-educational-rights-and-privacy-act-1974-ferpa?topic=ferpa</w:t>
        </w:r>
      </w:hyperlink>
    </w:p>
    <w:p w14:paraId="02FF2837" w14:textId="77777777" w:rsidR="005578E5" w:rsidRDefault="005578E5" w:rsidP="001408F6">
      <w:pPr>
        <w:ind w:left="720"/>
        <w:contextualSpacing/>
        <w:rPr>
          <w:rFonts w:ascii="Verdana" w:eastAsia="Verdana" w:hAnsi="Verdana" w:cs="Verdana"/>
        </w:rPr>
      </w:pPr>
    </w:p>
    <w:p w14:paraId="11B67543" w14:textId="77777777" w:rsidR="005578E5" w:rsidRDefault="004E254E" w:rsidP="001408F6">
      <w:pPr>
        <w:spacing w:after="40"/>
        <w:contextualSpacing/>
        <w:rPr>
          <w:rFonts w:ascii="Verdana" w:eastAsia="Verdana" w:hAnsi="Verdana" w:cs="Verdana"/>
          <w:b/>
          <w:sz w:val="24"/>
          <w:szCs w:val="24"/>
        </w:rPr>
      </w:pPr>
      <w:r>
        <w:rPr>
          <w:rFonts w:ascii="Verdana" w:eastAsia="Verdana" w:hAnsi="Verdana" w:cs="Verdana"/>
          <w:b/>
          <w:sz w:val="24"/>
          <w:szCs w:val="24"/>
        </w:rPr>
        <w:t>Subject to Change Statement</w:t>
      </w:r>
    </w:p>
    <w:p w14:paraId="1FBD566C" w14:textId="77777777" w:rsidR="005578E5" w:rsidRDefault="004E254E" w:rsidP="001408F6">
      <w:pPr>
        <w:ind w:left="72"/>
        <w:contextualSpacing/>
        <w:rPr>
          <w:sz w:val="24"/>
          <w:szCs w:val="24"/>
        </w:rPr>
      </w:pPr>
      <w:r>
        <w:rPr>
          <w:sz w:val="24"/>
          <w:szCs w:val="24"/>
        </w:rPr>
        <w:t>The information contained in the course syllabus, other than the grade and absence policy, may be subject to change with advance notice, as deemed appropriate by the instructor.</w:t>
      </w:r>
    </w:p>
    <w:p w14:paraId="3DA937DD" w14:textId="77777777" w:rsidR="00511A02" w:rsidRDefault="00511A02" w:rsidP="001408F6">
      <w:pPr>
        <w:ind w:left="72"/>
        <w:contextualSpacing/>
        <w:rPr>
          <w:sz w:val="24"/>
          <w:szCs w:val="24"/>
        </w:rPr>
      </w:pPr>
    </w:p>
    <w:p w14:paraId="1FD0EFD4" w14:textId="77777777" w:rsidR="00511A02" w:rsidRDefault="00511A02" w:rsidP="00511A02">
      <w:pPr>
        <w:spacing w:after="40"/>
        <w:contextualSpacing/>
        <w:rPr>
          <w:rFonts w:ascii="Verdana" w:eastAsia="Verdana" w:hAnsi="Verdana" w:cs="Verdana"/>
          <w:b/>
          <w:sz w:val="24"/>
          <w:szCs w:val="24"/>
        </w:rPr>
      </w:pPr>
      <w:r>
        <w:rPr>
          <w:rFonts w:ascii="Verdana" w:eastAsia="Verdana" w:hAnsi="Verdana" w:cs="Verdana"/>
          <w:b/>
          <w:sz w:val="24"/>
          <w:szCs w:val="24"/>
        </w:rPr>
        <w:t>Scheduled Topics/Activities</w:t>
      </w:r>
    </w:p>
    <w:p w14:paraId="2D8D69FD" w14:textId="77777777" w:rsidR="00511A02" w:rsidRDefault="00511A02" w:rsidP="00511A02">
      <w:pPr>
        <w:widowControl/>
        <w:contextualSpacing/>
        <w:rPr>
          <w:rFonts w:ascii="Arial" w:eastAsia="Arial" w:hAnsi="Arial" w:cs="Arial"/>
          <w:b/>
          <w:sz w:val="21"/>
          <w:szCs w:val="21"/>
        </w:rPr>
      </w:pPr>
      <w:r>
        <w:rPr>
          <w:rFonts w:ascii="Arial" w:eastAsia="Arial" w:hAnsi="Arial" w:cs="Arial"/>
          <w:b/>
          <w:sz w:val="21"/>
          <w:szCs w:val="21"/>
        </w:rPr>
        <w:t xml:space="preserve">  *Topics and deadlines are subject to change, please reference D2L regularly for updates</w:t>
      </w:r>
    </w:p>
    <w:p w14:paraId="2527DDD0" w14:textId="77777777" w:rsidR="00511A02" w:rsidRDefault="00511A02" w:rsidP="00511A02">
      <w:pPr>
        <w:contextualSpacing/>
        <w:rPr>
          <w:sz w:val="24"/>
          <w:szCs w:val="24"/>
        </w:rPr>
      </w:pPr>
    </w:p>
    <w:p w14:paraId="0575324F" w14:textId="77777777" w:rsidR="00511A02" w:rsidRDefault="00511A02" w:rsidP="001408F6">
      <w:pPr>
        <w:ind w:left="72"/>
        <w:contextualSpacing/>
        <w:rPr>
          <w:rFonts w:ascii="Verdana" w:eastAsia="Verdana" w:hAnsi="Verdana" w:cs="Verdana"/>
          <w:b/>
          <w:sz w:val="24"/>
          <w:szCs w:val="24"/>
        </w:rPr>
      </w:pPr>
    </w:p>
    <w:sectPr w:rsidR="00511A02">
      <w:headerReference w:type="default" r:id="rId29"/>
      <w:footerReference w:type="default" r:id="rId30"/>
      <w:headerReference w:type="first" r:id="rId31"/>
      <w:footerReference w:type="first" r:id="rId32"/>
      <w:pgSz w:w="12240" w:h="15840"/>
      <w:pgMar w:top="1008" w:right="1008" w:bottom="1008"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67B9" w14:textId="77777777" w:rsidR="00B86B54" w:rsidRDefault="00B86B54">
      <w:r>
        <w:separator/>
      </w:r>
    </w:p>
  </w:endnote>
  <w:endnote w:type="continuationSeparator" w:id="0">
    <w:p w14:paraId="1CFB1E54" w14:textId="77777777" w:rsidR="00B86B54" w:rsidRDefault="00B8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2ABA" w14:textId="77777777" w:rsidR="005578E5" w:rsidRDefault="004E254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2675A">
      <w:rPr>
        <w:noProof/>
        <w:color w:val="000000"/>
      </w:rPr>
      <w:t>2</w:t>
    </w:r>
    <w:r>
      <w:rPr>
        <w:color w:val="000000"/>
      </w:rPr>
      <w:fldChar w:fldCharType="end"/>
    </w:r>
  </w:p>
  <w:p w14:paraId="2FE50A65" w14:textId="77777777" w:rsidR="005578E5" w:rsidRDefault="004E254E">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t xml:space="preserve">rev. </w:t>
    </w:r>
    <w:r w:rsidR="00DE51AC">
      <w:rPr>
        <w:rFonts w:ascii="Calibri" w:eastAsia="Calibri" w:hAnsi="Calibri" w:cs="Calibri"/>
      </w:rPr>
      <w:t>8</w:t>
    </w:r>
    <w:r>
      <w:rPr>
        <w:rFonts w:ascii="Calibri" w:eastAsia="Calibri" w:hAnsi="Calibri" w:cs="Calibri"/>
        <w:color w:val="000000"/>
      </w:rPr>
      <w:t>/</w:t>
    </w:r>
    <w:r w:rsidR="00DE51AC">
      <w:rPr>
        <w:rFonts w:ascii="Calibri" w:eastAsia="Calibri" w:hAnsi="Calibri" w:cs="Calibri"/>
        <w:color w:val="000000"/>
      </w:rPr>
      <w:t>24</w:t>
    </w:r>
    <w:r>
      <w:rPr>
        <w:rFonts w:ascii="Calibri" w:eastAsia="Calibri" w:hAnsi="Calibri" w:cs="Calibri"/>
        <w:color w:val="000000"/>
      </w:rPr>
      <w:t>/</w:t>
    </w:r>
    <w:r>
      <w:rPr>
        <w:rFonts w:ascii="Calibri" w:eastAsia="Calibri" w:hAnsi="Calibri" w:cs="Calibri"/>
      </w:rPr>
      <w:t>20</w:t>
    </w:r>
  </w:p>
  <w:p w14:paraId="00CCA2F5" w14:textId="77777777" w:rsidR="005578E5" w:rsidRDefault="005578E5">
    <w:pPr>
      <w:pBdr>
        <w:top w:val="nil"/>
        <w:left w:val="nil"/>
        <w:bottom w:val="nil"/>
        <w:right w:val="nil"/>
        <w:between w:val="nil"/>
      </w:pBdr>
      <w:tabs>
        <w:tab w:val="center" w:pos="4320"/>
        <w:tab w:val="right" w:pos="8640"/>
      </w:tabs>
      <w:spacing w:after="432"/>
      <w:jc w:val="right"/>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E2B6" w14:textId="77777777" w:rsidR="005578E5" w:rsidRDefault="004E254E">
    <w:pPr>
      <w:pBdr>
        <w:top w:val="nil"/>
        <w:left w:val="nil"/>
        <w:bottom w:val="nil"/>
        <w:right w:val="nil"/>
        <w:between w:val="nil"/>
      </w:pBdr>
      <w:tabs>
        <w:tab w:val="center" w:pos="4320"/>
        <w:tab w:val="right" w:pos="8640"/>
      </w:tabs>
      <w:spacing w:after="432"/>
      <w:rPr>
        <w:rFonts w:ascii="Verdana" w:eastAsia="Verdana" w:hAnsi="Verdana" w:cs="Verdana"/>
        <w:color w:val="000000"/>
        <w:sz w:val="16"/>
        <w:szCs w:val="16"/>
      </w:rPr>
    </w:pPr>
    <w:r>
      <w:rPr>
        <w:rFonts w:ascii="Verdana" w:eastAsia="Verdana" w:hAnsi="Verdana" w:cs="Verdana"/>
        <w:color w:val="000000"/>
        <w:sz w:val="16"/>
        <w:szCs w:val="16"/>
      </w:rPr>
      <w:t xml:space="preserve">Rev. </w:t>
    </w:r>
    <w:r>
      <w:rPr>
        <w:rFonts w:ascii="Verdana" w:eastAsia="Verdana" w:hAnsi="Verdana" w:cs="Verdana"/>
        <w:sz w:val="16"/>
        <w:szCs w:val="16"/>
      </w:rPr>
      <w:t>8</w:t>
    </w:r>
    <w:r w:rsidR="004E1CA1">
      <w:rPr>
        <w:rFonts w:ascii="Verdana" w:eastAsia="Verdana" w:hAnsi="Verdana" w:cs="Verdana"/>
        <w:color w:val="000000"/>
        <w:sz w:val="16"/>
        <w:szCs w:val="16"/>
      </w:rPr>
      <w:t>/21</w:t>
    </w:r>
    <w:r>
      <w:rPr>
        <w:rFonts w:ascii="Verdana" w:eastAsia="Verdana" w:hAnsi="Verdana" w:cs="Verdana"/>
        <w:color w:val="000000"/>
        <w:sz w:val="16"/>
        <w:szCs w:val="16"/>
      </w:rPr>
      <w:t>/20</w:t>
    </w:r>
    <w:r w:rsidR="004E1CA1">
      <w:rPr>
        <w:rFonts w:ascii="Verdana" w:eastAsia="Verdana" w:hAnsi="Verdana" w:cs="Verdana"/>
        <w:color w:val="000000"/>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D331" w14:textId="77777777" w:rsidR="00B86B54" w:rsidRDefault="00B86B54">
      <w:r>
        <w:separator/>
      </w:r>
    </w:p>
  </w:footnote>
  <w:footnote w:type="continuationSeparator" w:id="0">
    <w:p w14:paraId="5232CFB0" w14:textId="77777777" w:rsidR="00B86B54" w:rsidRDefault="00B8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BF01" w14:textId="77777777" w:rsidR="005578E5" w:rsidRDefault="005578E5">
    <w:pPr>
      <w:pBdr>
        <w:top w:val="nil"/>
        <w:left w:val="nil"/>
        <w:bottom w:val="nil"/>
        <w:right w:val="nil"/>
        <w:between w:val="nil"/>
      </w:pBdr>
      <w:tabs>
        <w:tab w:val="center" w:pos="4320"/>
        <w:tab w:val="right" w:pos="8640"/>
      </w:tabs>
      <w:spacing w:before="576"/>
      <w:jc w:val="center"/>
      <w:rPr>
        <w:rFonts w:ascii="Tahoma" w:eastAsia="Tahoma" w:hAnsi="Tahoma" w:cs="Tahom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D534" w14:textId="77777777" w:rsidR="005578E5" w:rsidRDefault="004E254E">
    <w:pPr>
      <w:pBdr>
        <w:top w:val="nil"/>
        <w:left w:val="nil"/>
        <w:bottom w:val="nil"/>
        <w:right w:val="nil"/>
        <w:between w:val="nil"/>
      </w:pBdr>
      <w:tabs>
        <w:tab w:val="center" w:pos="4320"/>
        <w:tab w:val="right" w:pos="8640"/>
      </w:tabs>
      <w:spacing w:before="576"/>
      <w:jc w:val="center"/>
      <w:rPr>
        <w:color w:val="000000"/>
      </w:rPr>
    </w:pPr>
    <w:r>
      <w:rPr>
        <w:rFonts w:ascii="Tahoma" w:eastAsia="Tahoma" w:hAnsi="Tahoma" w:cs="Tahoma"/>
        <w:noProof/>
        <w:color w:val="000000"/>
      </w:rPr>
      <w:drawing>
        <wp:inline distT="0" distB="0" distL="0" distR="0" wp14:anchorId="61D810A6" wp14:editId="3903910A">
          <wp:extent cx="3685551" cy="8734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85551" cy="8734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301B5"/>
    <w:multiLevelType w:val="multilevel"/>
    <w:tmpl w:val="6BA2914E"/>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0B6062"/>
    <w:multiLevelType w:val="multilevel"/>
    <w:tmpl w:val="D46A8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9559916">
    <w:abstractNumId w:val="0"/>
  </w:num>
  <w:num w:numId="2" w16cid:durableId="48361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E5"/>
    <w:rsid w:val="00012CE9"/>
    <w:rsid w:val="00064AF6"/>
    <w:rsid w:val="00071B01"/>
    <w:rsid w:val="001408F6"/>
    <w:rsid w:val="00192F19"/>
    <w:rsid w:val="002868ED"/>
    <w:rsid w:val="00353F35"/>
    <w:rsid w:val="003915B6"/>
    <w:rsid w:val="00405502"/>
    <w:rsid w:val="00481920"/>
    <w:rsid w:val="004E1CA1"/>
    <w:rsid w:val="004E254E"/>
    <w:rsid w:val="00511A02"/>
    <w:rsid w:val="0052675A"/>
    <w:rsid w:val="00535ABB"/>
    <w:rsid w:val="005578E5"/>
    <w:rsid w:val="005654B8"/>
    <w:rsid w:val="005876C8"/>
    <w:rsid w:val="005959F5"/>
    <w:rsid w:val="005D2234"/>
    <w:rsid w:val="006074AD"/>
    <w:rsid w:val="006C3238"/>
    <w:rsid w:val="00735155"/>
    <w:rsid w:val="007923E9"/>
    <w:rsid w:val="007B607C"/>
    <w:rsid w:val="007F7734"/>
    <w:rsid w:val="00880C8C"/>
    <w:rsid w:val="00916678"/>
    <w:rsid w:val="009823C5"/>
    <w:rsid w:val="00A60C4B"/>
    <w:rsid w:val="00A62F62"/>
    <w:rsid w:val="00B86B54"/>
    <w:rsid w:val="00CE7FFA"/>
    <w:rsid w:val="00CF5B94"/>
    <w:rsid w:val="00D37799"/>
    <w:rsid w:val="00D4776E"/>
    <w:rsid w:val="00DA7ECF"/>
    <w:rsid w:val="00DD754F"/>
    <w:rsid w:val="00DE51AC"/>
    <w:rsid w:val="00F3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262DE"/>
  <w15:docId w15:val="{213B0C00-0D74-A640-A4AE-3DE1DE4B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rPr>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1CA1"/>
    <w:pPr>
      <w:tabs>
        <w:tab w:val="center" w:pos="4680"/>
        <w:tab w:val="right" w:pos="9360"/>
      </w:tabs>
    </w:pPr>
  </w:style>
  <w:style w:type="character" w:customStyle="1" w:styleId="HeaderChar">
    <w:name w:val="Header Char"/>
    <w:basedOn w:val="DefaultParagraphFont"/>
    <w:link w:val="Header"/>
    <w:uiPriority w:val="99"/>
    <w:rsid w:val="004E1CA1"/>
  </w:style>
  <w:style w:type="paragraph" w:styleId="Footer">
    <w:name w:val="footer"/>
    <w:basedOn w:val="Normal"/>
    <w:link w:val="FooterChar"/>
    <w:uiPriority w:val="99"/>
    <w:unhideWhenUsed/>
    <w:rsid w:val="004E1CA1"/>
    <w:pPr>
      <w:tabs>
        <w:tab w:val="center" w:pos="4680"/>
        <w:tab w:val="right" w:pos="9360"/>
      </w:tabs>
    </w:pPr>
  </w:style>
  <w:style w:type="character" w:customStyle="1" w:styleId="FooterChar">
    <w:name w:val="Footer Char"/>
    <w:basedOn w:val="DefaultParagraphFont"/>
    <w:link w:val="Footer"/>
    <w:uiPriority w:val="99"/>
    <w:rsid w:val="004E1CA1"/>
  </w:style>
  <w:style w:type="character" w:styleId="Hyperlink">
    <w:name w:val="Hyperlink"/>
    <w:basedOn w:val="DefaultParagraphFont"/>
    <w:uiPriority w:val="99"/>
    <w:unhideWhenUsed/>
    <w:rsid w:val="00A62F62"/>
    <w:rPr>
      <w:color w:val="0000FF" w:themeColor="hyperlink"/>
      <w:u w:val="single"/>
    </w:rPr>
  </w:style>
  <w:style w:type="character" w:styleId="UnresolvedMention">
    <w:name w:val="Unresolved Mention"/>
    <w:basedOn w:val="DefaultParagraphFont"/>
    <w:uiPriority w:val="99"/>
    <w:semiHidden/>
    <w:unhideWhenUsed/>
    <w:rsid w:val="00A62F62"/>
    <w:rPr>
      <w:color w:val="605E5C"/>
      <w:shd w:val="clear" w:color="auto" w:fill="E1DFDD"/>
    </w:rPr>
  </w:style>
  <w:style w:type="paragraph" w:styleId="ListParagraph">
    <w:name w:val="List Paragraph"/>
    <w:basedOn w:val="Normal"/>
    <w:uiPriority w:val="34"/>
    <w:qFormat/>
    <w:rsid w:val="001408F6"/>
    <w:pPr>
      <w:ind w:left="720"/>
      <w:contextualSpacing/>
    </w:pPr>
  </w:style>
  <w:style w:type="paragraph" w:styleId="BalloonText">
    <w:name w:val="Balloon Text"/>
    <w:basedOn w:val="Normal"/>
    <w:link w:val="BalloonTextChar"/>
    <w:uiPriority w:val="99"/>
    <w:semiHidden/>
    <w:unhideWhenUsed/>
    <w:rsid w:val="00D37799"/>
    <w:rPr>
      <w:sz w:val="18"/>
      <w:szCs w:val="18"/>
    </w:rPr>
  </w:style>
  <w:style w:type="character" w:customStyle="1" w:styleId="BalloonTextChar">
    <w:name w:val="Balloon Text Char"/>
    <w:basedOn w:val="DefaultParagraphFont"/>
    <w:link w:val="BalloonText"/>
    <w:uiPriority w:val="99"/>
    <w:semiHidden/>
    <w:rsid w:val="00D37799"/>
    <w:rPr>
      <w:sz w:val="18"/>
      <w:szCs w:val="18"/>
    </w:rPr>
  </w:style>
  <w:style w:type="character" w:styleId="FollowedHyperlink">
    <w:name w:val="FollowedHyperlink"/>
    <w:basedOn w:val="DefaultParagraphFont"/>
    <w:uiPriority w:val="99"/>
    <w:semiHidden/>
    <w:unhideWhenUsed/>
    <w:rsid w:val="00595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eanofstudents.arizona.edu/absences" TargetMode="External"/><Relationship Id="rId18" Type="http://schemas.openxmlformats.org/officeDocument/2006/relationships/hyperlink" Target="http://catalog.arizona.edu/policy/grades-and-grading-system" TargetMode="External"/><Relationship Id="rId26" Type="http://schemas.openxmlformats.org/officeDocument/2006/relationships/hyperlink" Target="http://catalog.arizona.edu/policies" TargetMode="External"/><Relationship Id="rId3" Type="http://schemas.openxmlformats.org/officeDocument/2006/relationships/settings" Target="settings.xml"/><Relationship Id="rId21" Type="http://schemas.openxmlformats.org/officeDocument/2006/relationships/hyperlink" Target="http://www.honors.arizona.edu/faculty-and-advisors/contracts" TargetMode="External"/><Relationship Id="rId34" Type="http://schemas.openxmlformats.org/officeDocument/2006/relationships/theme" Target="theme/theme1.xml"/><Relationship Id="rId7" Type="http://schemas.openxmlformats.org/officeDocument/2006/relationships/hyperlink" Target="mailto:bhurwitz@arizona.edu" TargetMode="External"/><Relationship Id="rId12" Type="http://schemas.openxmlformats.org/officeDocument/2006/relationships/hyperlink" Target="http://policy.arizona.edu/human-resources/religious-accommodation-policy" TargetMode="External"/><Relationship Id="rId17" Type="http://schemas.openxmlformats.org/officeDocument/2006/relationships/hyperlink" Target="http://catalog.arizona.edu/policy/grades-and-grading-system" TargetMode="External"/><Relationship Id="rId25" Type="http://schemas.openxmlformats.org/officeDocument/2006/relationships/hyperlink" Target="http://policy.arizona.edu/human-resources/nondiscrimination-and-anti-harassment-polic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rizona.edu/" TargetMode="External"/><Relationship Id="rId20" Type="http://schemas.openxmlformats.org/officeDocument/2006/relationships/hyperlink" Target="http://catalog.arizona.edu/policy/grades-and-grading-syste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arizona.edu/policy/class-attendance-participation-and-administrative-drop" TargetMode="External"/><Relationship Id="rId24" Type="http://schemas.openxmlformats.org/officeDocument/2006/relationships/hyperlink" Target="http://new.library.arizona.edu/research/citing/plagiaris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OS-deanofstudents@email.arizona.edu" TargetMode="External"/><Relationship Id="rId23" Type="http://schemas.openxmlformats.org/officeDocument/2006/relationships/hyperlink" Target="http://deanofstudents.arizona.edu/academic-integrity/students/academic-integrity" TargetMode="External"/><Relationship Id="rId28" Type="http://schemas.openxmlformats.org/officeDocument/2006/relationships/hyperlink" Target="http://www.registrar.arizona.edu/personal-information/family-educational-rights-and-privacy-act-1974-ferpa?topic=ferpa" TargetMode="External"/><Relationship Id="rId10" Type="http://schemas.openxmlformats.org/officeDocument/2006/relationships/hyperlink" Target="https://www.arizona.edu/coronavirus-covid-19-information" TargetMode="External"/><Relationship Id="rId19" Type="http://schemas.openxmlformats.org/officeDocument/2006/relationships/hyperlink" Target="http://catalog.arizona.edu/policy/grades-and-grading-syste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ealth.arizona.edu/" TargetMode="External"/><Relationship Id="rId14" Type="http://schemas.openxmlformats.org/officeDocument/2006/relationships/hyperlink" Target="https://deanofstudents.arizona.edu/" TargetMode="External"/><Relationship Id="rId22" Type="http://schemas.openxmlformats.org/officeDocument/2006/relationships/hyperlink" Target="http://policy.arizona.edu/education-and-student-affairs/threatening-behavior-students" TargetMode="External"/><Relationship Id="rId27" Type="http://schemas.openxmlformats.org/officeDocument/2006/relationships/hyperlink" Target="http://deanofstudents.arizona.edu/student-assistance/students/student-assistance" TargetMode="External"/><Relationship Id="rId30" Type="http://schemas.openxmlformats.org/officeDocument/2006/relationships/footer" Target="footer1.xml"/><Relationship Id="rId8" Type="http://schemas.openxmlformats.org/officeDocument/2006/relationships/hyperlink" Target="mailto:juren@arizon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Bonnie Hurwitz</cp:lastModifiedBy>
  <cp:revision>2</cp:revision>
  <cp:lastPrinted>2020-08-25T16:13:00Z</cp:lastPrinted>
  <dcterms:created xsi:type="dcterms:W3CDTF">2022-08-18T18:49:00Z</dcterms:created>
  <dcterms:modified xsi:type="dcterms:W3CDTF">2022-08-18T18:49:00Z</dcterms:modified>
</cp:coreProperties>
</file>